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CB" w:rsidRPr="0067203F" w:rsidRDefault="009964CB" w:rsidP="009964CB">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67203F">
        <w:rPr>
          <w:rFonts w:ascii="Times New Roman" w:eastAsia="Times New Roman" w:hAnsi="Times New Roman" w:cs="Times New Roman"/>
          <w:b/>
          <w:bCs/>
          <w:sz w:val="24"/>
          <w:szCs w:val="24"/>
          <w:u w:val="single"/>
          <w:lang w:eastAsia="es-AR"/>
        </w:rPr>
        <w:t>Conteni</w:t>
      </w:r>
      <w:bookmarkStart w:id="0" w:name="_GoBack"/>
      <w:bookmarkEnd w:id="0"/>
      <w:r w:rsidRPr="0067203F">
        <w:rPr>
          <w:rFonts w:ascii="Times New Roman" w:eastAsia="Times New Roman" w:hAnsi="Times New Roman" w:cs="Times New Roman"/>
          <w:b/>
          <w:bCs/>
          <w:sz w:val="24"/>
          <w:szCs w:val="24"/>
          <w:u w:val="single"/>
          <w:lang w:eastAsia="es-AR"/>
        </w:rPr>
        <w:t>dos para la Obtención de la Matrícula de</w:t>
      </w:r>
    </w:p>
    <w:p w:rsidR="009964CB" w:rsidRPr="0067203F" w:rsidRDefault="009964CB" w:rsidP="009964CB">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67203F">
        <w:rPr>
          <w:rFonts w:ascii="Times New Roman" w:eastAsia="Times New Roman" w:hAnsi="Times New Roman" w:cs="Times New Roman"/>
          <w:b/>
          <w:bCs/>
          <w:i/>
          <w:iCs/>
          <w:sz w:val="24"/>
          <w:szCs w:val="24"/>
          <w:u w:val="single"/>
          <w:lang w:eastAsia="es-AR"/>
        </w:rPr>
        <w:t>Productor Asesor de Seguros sobre las Personas</w:t>
      </w:r>
    </w:p>
    <w:p w:rsidR="009964CB" w:rsidRDefault="009964CB" w:rsidP="009964CB">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67203F">
        <w:rPr>
          <w:rFonts w:ascii="Times New Roman" w:eastAsia="Times New Roman" w:hAnsi="Times New Roman" w:cs="Times New Roman"/>
          <w:b/>
          <w:bCs/>
          <w:color w:val="000000"/>
          <w:sz w:val="24"/>
          <w:szCs w:val="24"/>
          <w:lang w:val="es-ES_tradnl" w:eastAsia="es-AR"/>
        </w:rPr>
        <w:t xml:space="preserve">  -Carga horaria mínima total: </w:t>
      </w:r>
      <w:r>
        <w:rPr>
          <w:rFonts w:ascii="Times New Roman" w:eastAsia="Times New Roman" w:hAnsi="Times New Roman" w:cs="Times New Roman"/>
          <w:b/>
          <w:bCs/>
          <w:color w:val="000000"/>
          <w:sz w:val="24"/>
          <w:szCs w:val="24"/>
          <w:lang w:val="es-ES_tradnl" w:eastAsia="es-AR"/>
        </w:rPr>
        <w:t>416</w:t>
      </w:r>
      <w:r w:rsidRPr="0067203F">
        <w:rPr>
          <w:rFonts w:ascii="Times New Roman" w:eastAsia="Times New Roman" w:hAnsi="Times New Roman" w:cs="Times New Roman"/>
          <w:b/>
          <w:bCs/>
          <w:color w:val="000000"/>
          <w:sz w:val="24"/>
          <w:szCs w:val="24"/>
          <w:lang w:val="es-ES_tradnl" w:eastAsia="es-AR"/>
        </w:rPr>
        <w:t xml:space="preserve"> </w:t>
      </w:r>
      <w:proofErr w:type="spellStart"/>
      <w:r w:rsidRPr="0067203F">
        <w:rPr>
          <w:rFonts w:ascii="Times New Roman" w:eastAsia="Times New Roman" w:hAnsi="Times New Roman" w:cs="Times New Roman"/>
          <w:b/>
          <w:bCs/>
          <w:color w:val="000000"/>
          <w:sz w:val="24"/>
          <w:szCs w:val="24"/>
          <w:lang w:val="es-ES_tradnl" w:eastAsia="es-AR"/>
        </w:rPr>
        <w:t>hs</w:t>
      </w:r>
      <w:proofErr w:type="spellEnd"/>
      <w:r w:rsidRPr="0067203F">
        <w:rPr>
          <w:rFonts w:ascii="Times New Roman" w:eastAsia="Times New Roman" w:hAnsi="Times New Roman" w:cs="Times New Roman"/>
          <w:b/>
          <w:bCs/>
          <w:color w:val="000000"/>
          <w:sz w:val="24"/>
          <w:szCs w:val="24"/>
          <w:lang w:val="es-ES_tradnl" w:eastAsia="es-AR"/>
        </w:rPr>
        <w:t>. cátedra-</w:t>
      </w:r>
      <w:r w:rsidRPr="0067203F">
        <w:rPr>
          <w:rFonts w:ascii="Times New Roman" w:eastAsia="Times New Roman" w:hAnsi="Times New Roman" w:cs="Times New Roman"/>
          <w:sz w:val="24"/>
          <w:szCs w:val="24"/>
          <w:lang w:eastAsia="es-AR"/>
        </w:rPr>
        <w:t> </w:t>
      </w:r>
    </w:p>
    <w:p w:rsidR="009964CB" w:rsidRPr="003422A3" w:rsidRDefault="009964CB" w:rsidP="009964CB">
      <w:pPr>
        <w:pStyle w:val="Prrafodelista"/>
        <w:numPr>
          <w:ilvl w:val="0"/>
          <w:numId w:val="10"/>
        </w:numPr>
        <w:spacing w:before="100" w:beforeAutospacing="1" w:after="100" w:afterAutospacing="1"/>
        <w:jc w:val="center"/>
        <w:rPr>
          <w:b/>
          <w:bCs/>
          <w:u w:val="single"/>
          <w:lang w:eastAsia="es-AR"/>
        </w:rPr>
      </w:pPr>
      <w:r w:rsidRPr="003422A3">
        <w:rPr>
          <w:b/>
          <w:bCs/>
          <w:u w:val="single"/>
          <w:lang w:eastAsia="es-AR"/>
        </w:rPr>
        <w:t xml:space="preserve">– FORMACIÓN BÁSICA (144 </w:t>
      </w:r>
      <w:proofErr w:type="spellStart"/>
      <w:r w:rsidRPr="003422A3">
        <w:rPr>
          <w:b/>
          <w:bCs/>
          <w:u w:val="single"/>
          <w:lang w:eastAsia="es-AR"/>
        </w:rPr>
        <w:t>hs</w:t>
      </w:r>
      <w:proofErr w:type="spellEnd"/>
      <w:r w:rsidRPr="003422A3">
        <w:rPr>
          <w:b/>
          <w:bCs/>
          <w:u w:val="single"/>
          <w:lang w:eastAsia="es-AR"/>
        </w:rPr>
        <w:t>. totales)</w:t>
      </w:r>
    </w:p>
    <w:p w:rsidR="009964CB" w:rsidRDefault="009964CB" w:rsidP="009964CB">
      <w:pPr>
        <w:pStyle w:val="Prrafodelista"/>
        <w:spacing w:before="100" w:beforeAutospacing="1" w:after="100" w:afterAutospacing="1"/>
        <w:rPr>
          <w:lang w:eastAsia="es-AR"/>
        </w:rPr>
      </w:pPr>
    </w:p>
    <w:p w:rsidR="009964CB" w:rsidRPr="003422A3" w:rsidRDefault="009964CB" w:rsidP="009964CB">
      <w:pPr>
        <w:pStyle w:val="Prrafodelista"/>
        <w:spacing w:before="100" w:beforeAutospacing="1" w:after="100" w:afterAutospacing="1"/>
        <w:rPr>
          <w:lang w:eastAsia="es-AR"/>
        </w:rPr>
      </w:pPr>
    </w:p>
    <w:p w:rsidR="009964CB" w:rsidRPr="003422A3" w:rsidRDefault="009964CB" w:rsidP="009964CB">
      <w:pPr>
        <w:pStyle w:val="Prrafodelista"/>
        <w:numPr>
          <w:ilvl w:val="0"/>
          <w:numId w:val="11"/>
        </w:numPr>
        <w:spacing w:before="100" w:beforeAutospacing="1" w:after="100" w:afterAutospacing="1"/>
        <w:jc w:val="both"/>
        <w:rPr>
          <w:b/>
          <w:lang w:eastAsia="es-AR"/>
        </w:rPr>
      </w:pPr>
      <w:r w:rsidRPr="003422A3">
        <w:rPr>
          <w:b/>
          <w:lang w:eastAsia="es-AR"/>
        </w:rPr>
        <w:t>CONTABILIDAD</w:t>
      </w:r>
    </w:p>
    <w:p w:rsidR="009964CB" w:rsidRPr="00D84DFC" w:rsidRDefault="009964CB" w:rsidP="009964CB">
      <w:pPr>
        <w:numPr>
          <w:ilvl w:val="0"/>
          <w:numId w:val="3"/>
        </w:numPr>
        <w:spacing w:after="120" w:line="240" w:lineRule="auto"/>
        <w:jc w:val="both"/>
        <w:rPr>
          <w:rFonts w:ascii="Arial" w:hAnsi="Arial" w:cs="Arial"/>
          <w:sz w:val="24"/>
          <w:szCs w:val="24"/>
        </w:rPr>
      </w:pPr>
      <w:r w:rsidRPr="00D84DFC">
        <w:rPr>
          <w:rFonts w:ascii="Arial" w:hAnsi="Arial" w:cs="Arial"/>
          <w:sz w:val="24"/>
          <w:szCs w:val="24"/>
        </w:rPr>
        <w:t>El valor de la contabilidad como sistema de gestión, administración y control. Los componentes de la ecuación contable básica: activo, pasivo y capital. Patrimonio, patrimonio neto y variaciones patrimoniales. Principios contables. Cuentas: concepto, clasificación y plan de cuentas. Sistema de registración contable. Registros básicos. Documentos comerciales.</w:t>
      </w:r>
    </w:p>
    <w:p w:rsidR="009964CB" w:rsidRPr="00D84DFC" w:rsidRDefault="009964CB" w:rsidP="009964CB">
      <w:pPr>
        <w:numPr>
          <w:ilvl w:val="0"/>
          <w:numId w:val="3"/>
        </w:numPr>
        <w:spacing w:after="120" w:line="240" w:lineRule="auto"/>
        <w:jc w:val="both"/>
        <w:rPr>
          <w:rFonts w:ascii="Arial" w:hAnsi="Arial" w:cs="Arial"/>
          <w:snapToGrid w:val="0"/>
          <w:sz w:val="24"/>
          <w:szCs w:val="24"/>
        </w:rPr>
      </w:pPr>
      <w:r w:rsidRPr="00D84DFC">
        <w:rPr>
          <w:rFonts w:ascii="Arial" w:hAnsi="Arial" w:cs="Arial"/>
          <w:snapToGrid w:val="0"/>
          <w:sz w:val="24"/>
          <w:szCs w:val="24"/>
        </w:rPr>
        <w:t>Estados contables. Balance patrimonial. Estado de Resultados. Estado de Evolución del Patrimonio Neto. Estado de variaciones del capital corriente. Tareas previas y posteriores vinculadas a la confección de estados contables.</w:t>
      </w:r>
    </w:p>
    <w:p w:rsidR="009964CB" w:rsidRPr="00D84DFC" w:rsidRDefault="009964CB" w:rsidP="009964CB">
      <w:pPr>
        <w:numPr>
          <w:ilvl w:val="0"/>
          <w:numId w:val="3"/>
        </w:numPr>
        <w:spacing w:after="120" w:line="240" w:lineRule="auto"/>
        <w:jc w:val="both"/>
        <w:rPr>
          <w:rFonts w:ascii="Arial" w:hAnsi="Arial" w:cs="Arial"/>
          <w:snapToGrid w:val="0"/>
          <w:sz w:val="24"/>
          <w:szCs w:val="24"/>
        </w:rPr>
      </w:pPr>
      <w:r w:rsidRPr="00D84DFC">
        <w:rPr>
          <w:rFonts w:ascii="Arial" w:hAnsi="Arial" w:cs="Arial"/>
          <w:snapToGrid w:val="0"/>
          <w:sz w:val="24"/>
          <w:szCs w:val="24"/>
        </w:rPr>
        <w:t>An</w:t>
      </w:r>
      <w:r w:rsidRPr="00D84DFC">
        <w:rPr>
          <w:rFonts w:ascii="Arial" w:hAnsi="Arial" w:cs="Arial"/>
          <w:sz w:val="24"/>
          <w:szCs w:val="24"/>
        </w:rPr>
        <w:t>álisis e interpretación de Balances. Situación financiera y económica: índices para el análisis de cada una.</w:t>
      </w:r>
    </w:p>
    <w:p w:rsidR="009964CB" w:rsidRPr="00D84DFC" w:rsidRDefault="009964CB" w:rsidP="009964CB">
      <w:pPr>
        <w:numPr>
          <w:ilvl w:val="0"/>
          <w:numId w:val="3"/>
        </w:numPr>
        <w:spacing w:after="120" w:line="240" w:lineRule="auto"/>
        <w:jc w:val="both"/>
        <w:rPr>
          <w:rFonts w:ascii="Arial" w:hAnsi="Arial" w:cs="Arial"/>
          <w:snapToGrid w:val="0"/>
          <w:sz w:val="24"/>
          <w:szCs w:val="24"/>
        </w:rPr>
      </w:pPr>
      <w:r w:rsidRPr="00D84DFC">
        <w:rPr>
          <w:rFonts w:ascii="Arial" w:hAnsi="Arial" w:cs="Arial"/>
          <w:sz w:val="24"/>
          <w:szCs w:val="24"/>
        </w:rPr>
        <w:t>Costos: definición y tipos</w:t>
      </w:r>
      <w:r w:rsidRPr="00D84DFC">
        <w:rPr>
          <w:rFonts w:ascii="Arial" w:hAnsi="Arial" w:cs="Arial"/>
          <w:snapToGrid w:val="0"/>
          <w:sz w:val="24"/>
          <w:szCs w:val="24"/>
        </w:rPr>
        <w:t xml:space="preserve">. Costos directos e indirectos. Costos fijos y variables. </w:t>
      </w:r>
      <w:r w:rsidRPr="00D84DFC">
        <w:rPr>
          <w:rFonts w:ascii="Arial" w:hAnsi="Arial" w:cs="Arial"/>
          <w:sz w:val="24"/>
          <w:szCs w:val="24"/>
        </w:rPr>
        <w:t>Punto de equilibrio. Métodos de costeo.</w:t>
      </w:r>
      <w:r w:rsidRPr="00D84DFC">
        <w:rPr>
          <w:rFonts w:ascii="Arial" w:hAnsi="Arial" w:cs="Arial"/>
          <w:color w:val="000000"/>
          <w:sz w:val="24"/>
          <w:szCs w:val="24"/>
        </w:rPr>
        <w:t xml:space="preserve"> Estimación de costos. </w:t>
      </w:r>
      <w:r w:rsidRPr="00D84DFC">
        <w:rPr>
          <w:rFonts w:ascii="Arial" w:hAnsi="Arial" w:cs="Arial"/>
          <w:sz w:val="24"/>
          <w:szCs w:val="24"/>
        </w:rPr>
        <w:t>Importancia de los costos en la fijación de precios</w:t>
      </w:r>
      <w:r w:rsidRPr="00D84DFC">
        <w:rPr>
          <w:rFonts w:ascii="Arial" w:hAnsi="Arial" w:cs="Arial"/>
          <w:color w:val="000000"/>
          <w:sz w:val="24"/>
          <w:szCs w:val="24"/>
        </w:rPr>
        <w:t>. Utilización de la información de costos para la toma de decisiones.</w:t>
      </w:r>
    </w:p>
    <w:p w:rsidR="009964CB" w:rsidRPr="00D84DFC" w:rsidRDefault="009964CB" w:rsidP="009964CB">
      <w:pPr>
        <w:numPr>
          <w:ilvl w:val="0"/>
          <w:numId w:val="3"/>
        </w:numPr>
        <w:spacing w:after="120" w:line="240" w:lineRule="auto"/>
        <w:jc w:val="both"/>
        <w:rPr>
          <w:rFonts w:ascii="Arial" w:hAnsi="Arial" w:cs="Arial"/>
          <w:b/>
          <w:sz w:val="24"/>
          <w:szCs w:val="24"/>
        </w:rPr>
      </w:pPr>
      <w:r w:rsidRPr="00D84DFC">
        <w:rPr>
          <w:rFonts w:ascii="Arial" w:hAnsi="Arial" w:cs="Arial"/>
          <w:sz w:val="24"/>
          <w:szCs w:val="24"/>
        </w:rPr>
        <w:t xml:space="preserve">Obligaciones tributarias: concepto, significado e implicancias. Impuestos generales y específicos para el sector. </w:t>
      </w:r>
    </w:p>
    <w:p w:rsidR="009964CB" w:rsidRDefault="009964CB" w:rsidP="009964CB">
      <w:pPr>
        <w:numPr>
          <w:ilvl w:val="0"/>
          <w:numId w:val="3"/>
        </w:numPr>
        <w:spacing w:after="120" w:line="240" w:lineRule="auto"/>
        <w:jc w:val="both"/>
        <w:rPr>
          <w:rFonts w:ascii="Arial" w:hAnsi="Arial" w:cs="Arial"/>
          <w:sz w:val="24"/>
          <w:szCs w:val="24"/>
        </w:rPr>
      </w:pPr>
      <w:r w:rsidRPr="00D84DFC">
        <w:rPr>
          <w:rFonts w:ascii="Arial" w:hAnsi="Arial" w:cs="Arial"/>
          <w:snapToGrid w:val="0"/>
          <w:sz w:val="24"/>
          <w:szCs w:val="24"/>
        </w:rPr>
        <w:t xml:space="preserve">Constitución de sociedades. Sociedades anónimas. Suscripción de acciones. Sociedades controlantes y controladas. </w:t>
      </w:r>
      <w:r w:rsidRPr="00D84DFC">
        <w:rPr>
          <w:rFonts w:ascii="Arial" w:hAnsi="Arial" w:cs="Arial"/>
          <w:sz w:val="24"/>
          <w:szCs w:val="24"/>
        </w:rPr>
        <w:t xml:space="preserve">Aspectos societarios de una compañía de seguros. </w:t>
      </w:r>
    </w:p>
    <w:p w:rsidR="009964CB" w:rsidRPr="00373E4E" w:rsidRDefault="009964CB" w:rsidP="009964CB">
      <w:pPr>
        <w:pStyle w:val="Prrafodelista"/>
        <w:numPr>
          <w:ilvl w:val="0"/>
          <w:numId w:val="3"/>
        </w:numPr>
        <w:jc w:val="both"/>
        <w:rPr>
          <w:rFonts w:ascii="Arial" w:hAnsi="Arial" w:cs="Arial"/>
          <w:b/>
          <w:bCs/>
          <w:lang w:eastAsia="es-AR"/>
        </w:rPr>
      </w:pPr>
      <w:r w:rsidRPr="00373E4E">
        <w:rPr>
          <w:rFonts w:ascii="Arial" w:hAnsi="Arial" w:cs="Arial"/>
          <w:b/>
          <w:bCs/>
          <w:lang w:eastAsia="es-AR"/>
        </w:rPr>
        <w:t xml:space="preserve">Carga horaria mínima: </w:t>
      </w:r>
      <w:r>
        <w:rPr>
          <w:rFonts w:ascii="Arial" w:hAnsi="Arial" w:cs="Arial"/>
          <w:b/>
          <w:bCs/>
          <w:lang w:eastAsia="es-AR"/>
        </w:rPr>
        <w:t>48</w:t>
      </w:r>
      <w:r w:rsidRPr="00373E4E">
        <w:rPr>
          <w:rFonts w:ascii="Arial" w:hAnsi="Arial" w:cs="Arial"/>
          <w:b/>
          <w:bCs/>
          <w:lang w:eastAsia="es-AR"/>
        </w:rPr>
        <w:t xml:space="preserve"> </w:t>
      </w:r>
      <w:proofErr w:type="spellStart"/>
      <w:r w:rsidRPr="00373E4E">
        <w:rPr>
          <w:rFonts w:ascii="Arial" w:hAnsi="Arial" w:cs="Arial"/>
          <w:b/>
          <w:bCs/>
          <w:lang w:eastAsia="es-AR"/>
        </w:rPr>
        <w:t>hs</w:t>
      </w:r>
      <w:proofErr w:type="spellEnd"/>
      <w:r w:rsidRPr="00373E4E">
        <w:rPr>
          <w:rFonts w:ascii="Arial" w:hAnsi="Arial" w:cs="Arial"/>
          <w:b/>
          <w:bCs/>
          <w:lang w:eastAsia="es-AR"/>
        </w:rPr>
        <w:t>. cátedra. </w:t>
      </w:r>
    </w:p>
    <w:p w:rsidR="009964CB" w:rsidRPr="00373E4E" w:rsidRDefault="009964CB" w:rsidP="009964CB">
      <w:pPr>
        <w:spacing w:after="120" w:line="240" w:lineRule="auto"/>
        <w:jc w:val="both"/>
        <w:rPr>
          <w:rFonts w:ascii="Arial" w:hAnsi="Arial" w:cs="Arial"/>
          <w:sz w:val="24"/>
          <w:szCs w:val="24"/>
          <w:lang w:val="es-ES"/>
        </w:rPr>
      </w:pPr>
    </w:p>
    <w:p w:rsidR="009964CB" w:rsidRDefault="009964CB" w:rsidP="009964CB">
      <w:pPr>
        <w:spacing w:after="120" w:line="240" w:lineRule="auto"/>
        <w:jc w:val="both"/>
        <w:rPr>
          <w:rFonts w:ascii="Arial" w:hAnsi="Arial" w:cs="Arial"/>
          <w:sz w:val="24"/>
          <w:szCs w:val="24"/>
        </w:rPr>
      </w:pPr>
    </w:p>
    <w:p w:rsidR="009964CB" w:rsidRDefault="009964CB" w:rsidP="009964CB">
      <w:pPr>
        <w:spacing w:after="120" w:line="240" w:lineRule="auto"/>
        <w:jc w:val="both"/>
        <w:rPr>
          <w:rFonts w:ascii="Arial" w:hAnsi="Arial" w:cs="Arial"/>
          <w:sz w:val="24"/>
          <w:szCs w:val="24"/>
        </w:rPr>
      </w:pPr>
    </w:p>
    <w:p w:rsidR="009964CB" w:rsidRDefault="009964CB" w:rsidP="009964CB">
      <w:pPr>
        <w:spacing w:after="120" w:line="240" w:lineRule="auto"/>
        <w:jc w:val="both"/>
        <w:rPr>
          <w:rFonts w:ascii="Arial" w:hAnsi="Arial" w:cs="Arial"/>
          <w:sz w:val="24"/>
          <w:szCs w:val="24"/>
        </w:rPr>
      </w:pPr>
    </w:p>
    <w:p w:rsidR="009964CB" w:rsidRDefault="009964CB" w:rsidP="009964CB">
      <w:pPr>
        <w:spacing w:after="120" w:line="240" w:lineRule="auto"/>
        <w:jc w:val="both"/>
        <w:rPr>
          <w:rFonts w:ascii="Arial" w:hAnsi="Arial" w:cs="Arial"/>
          <w:sz w:val="24"/>
          <w:szCs w:val="24"/>
        </w:rPr>
      </w:pPr>
    </w:p>
    <w:p w:rsidR="009964CB" w:rsidRDefault="009964CB" w:rsidP="009964CB">
      <w:pPr>
        <w:spacing w:after="120" w:line="240" w:lineRule="auto"/>
        <w:jc w:val="both"/>
        <w:rPr>
          <w:rFonts w:ascii="Arial" w:hAnsi="Arial" w:cs="Arial"/>
          <w:sz w:val="24"/>
          <w:szCs w:val="24"/>
        </w:rPr>
      </w:pPr>
    </w:p>
    <w:p w:rsidR="009964CB" w:rsidRPr="00D84DFC" w:rsidRDefault="009964CB" w:rsidP="009964CB">
      <w:pPr>
        <w:spacing w:after="120" w:line="240" w:lineRule="auto"/>
        <w:jc w:val="both"/>
        <w:rPr>
          <w:rFonts w:ascii="Arial" w:hAnsi="Arial" w:cs="Arial"/>
          <w:sz w:val="24"/>
          <w:szCs w:val="24"/>
        </w:rPr>
      </w:pPr>
    </w:p>
    <w:p w:rsidR="009964CB" w:rsidRPr="003422A3" w:rsidRDefault="009964CB" w:rsidP="009964CB">
      <w:pPr>
        <w:pStyle w:val="Prrafodelista"/>
        <w:numPr>
          <w:ilvl w:val="0"/>
          <w:numId w:val="11"/>
        </w:numPr>
        <w:spacing w:after="120"/>
        <w:jc w:val="both"/>
        <w:rPr>
          <w:rFonts w:ascii="Arial" w:hAnsi="Arial" w:cs="Arial"/>
          <w:b/>
        </w:rPr>
      </w:pPr>
      <w:r w:rsidRPr="003422A3">
        <w:rPr>
          <w:rFonts w:ascii="Arial" w:hAnsi="Arial" w:cs="Arial"/>
          <w:b/>
        </w:rPr>
        <w:t xml:space="preserve"> INTRODUCCIÓN AL DERECHO</w:t>
      </w:r>
    </w:p>
    <w:p w:rsidR="009964CB" w:rsidRPr="001323AB" w:rsidRDefault="009964CB" w:rsidP="009964CB">
      <w:pPr>
        <w:pStyle w:val="HTMLconformatoprevio"/>
        <w:ind w:left="360"/>
        <w:jc w:val="both"/>
        <w:rPr>
          <w:rFonts w:ascii="Arial" w:hAnsi="Arial" w:cs="Arial"/>
          <w:i/>
          <w:sz w:val="24"/>
          <w:szCs w:val="24"/>
        </w:rPr>
      </w:pPr>
    </w:p>
    <w:p w:rsidR="009964CB" w:rsidRPr="001323AB" w:rsidRDefault="009964CB" w:rsidP="009964CB">
      <w:pPr>
        <w:numPr>
          <w:ilvl w:val="0"/>
          <w:numId w:val="1"/>
        </w:numPr>
        <w:spacing w:after="120" w:line="240" w:lineRule="auto"/>
        <w:jc w:val="both"/>
        <w:rPr>
          <w:rFonts w:ascii="Arial" w:hAnsi="Arial" w:cs="Arial"/>
        </w:rPr>
      </w:pPr>
      <w:r w:rsidRPr="001323AB">
        <w:rPr>
          <w:rFonts w:ascii="Arial" w:hAnsi="Arial" w:cs="Arial"/>
        </w:rPr>
        <w:lastRenderedPageBreak/>
        <w:t xml:space="preserve">El derecho: definición. Derecho público y derecho privado. Ramas de derecho privado: derecho civil, derecho comercial, derecho social, derecho internacional privado. Fuentes del derecho. </w:t>
      </w:r>
    </w:p>
    <w:p w:rsidR="009964CB" w:rsidRPr="001323AB" w:rsidRDefault="009964CB" w:rsidP="009964CB">
      <w:pPr>
        <w:numPr>
          <w:ilvl w:val="0"/>
          <w:numId w:val="1"/>
        </w:numPr>
        <w:spacing w:after="120" w:line="240" w:lineRule="auto"/>
        <w:jc w:val="both"/>
        <w:rPr>
          <w:rFonts w:ascii="Arial" w:hAnsi="Arial" w:cs="Arial"/>
          <w:snapToGrid w:val="0"/>
        </w:rPr>
      </w:pPr>
      <w:r w:rsidRPr="001323AB">
        <w:rPr>
          <w:rFonts w:ascii="Arial" w:hAnsi="Arial" w:cs="Arial"/>
          <w:snapToGrid w:val="0"/>
        </w:rPr>
        <w:t xml:space="preserve">Sujetos del derecho. Concepto de persona. Distintas clases de personas. Noción de personas jurídicas. Personalidad. Negatoria de la personalidad. Atributos de las personas. </w:t>
      </w:r>
    </w:p>
    <w:p w:rsidR="009964CB" w:rsidRPr="001323AB" w:rsidRDefault="009964CB" w:rsidP="009964CB">
      <w:pPr>
        <w:numPr>
          <w:ilvl w:val="0"/>
          <w:numId w:val="1"/>
        </w:numPr>
        <w:spacing w:after="120" w:line="240" w:lineRule="auto"/>
        <w:jc w:val="both"/>
        <w:rPr>
          <w:rFonts w:ascii="Arial" w:hAnsi="Arial" w:cs="Arial"/>
          <w:snapToGrid w:val="0"/>
        </w:rPr>
      </w:pPr>
      <w:r w:rsidRPr="001323AB">
        <w:rPr>
          <w:rFonts w:ascii="Arial" w:hAnsi="Arial" w:cs="Arial"/>
          <w:snapToGrid w:val="0"/>
        </w:rPr>
        <w:t xml:space="preserve">Objeto del derecho: las cosas y los bienes. Clasificación de cosas. Concepto de patrimonio. Composición del patrimonio. </w:t>
      </w:r>
    </w:p>
    <w:p w:rsidR="009964CB" w:rsidRPr="001323AB" w:rsidRDefault="009964CB" w:rsidP="009964CB">
      <w:pPr>
        <w:numPr>
          <w:ilvl w:val="0"/>
          <w:numId w:val="1"/>
        </w:numPr>
        <w:spacing w:after="120" w:line="240" w:lineRule="auto"/>
        <w:jc w:val="both"/>
        <w:rPr>
          <w:rFonts w:ascii="Arial" w:hAnsi="Arial" w:cs="Arial"/>
          <w:snapToGrid w:val="0"/>
        </w:rPr>
      </w:pPr>
      <w:r w:rsidRPr="001323AB">
        <w:rPr>
          <w:rFonts w:ascii="Arial" w:hAnsi="Arial" w:cs="Arial"/>
        </w:rPr>
        <w:t xml:space="preserve">Hechos y actos jurídicos: definición. Clasificación de los hechos jurídicos. Prueba de los actos jurídicos. </w:t>
      </w:r>
    </w:p>
    <w:p w:rsidR="009964CB" w:rsidRPr="001323AB" w:rsidRDefault="009964CB" w:rsidP="009964CB">
      <w:pPr>
        <w:numPr>
          <w:ilvl w:val="0"/>
          <w:numId w:val="1"/>
        </w:numPr>
        <w:spacing w:after="120" w:line="240" w:lineRule="auto"/>
        <w:jc w:val="both"/>
        <w:rPr>
          <w:rFonts w:ascii="Arial" w:hAnsi="Arial" w:cs="Arial"/>
          <w:snapToGrid w:val="0"/>
        </w:rPr>
      </w:pPr>
      <w:r w:rsidRPr="001323AB">
        <w:rPr>
          <w:rFonts w:ascii="Arial" w:hAnsi="Arial" w:cs="Arial"/>
          <w:snapToGrid w:val="0"/>
        </w:rPr>
        <w:t xml:space="preserve">Obligaciones. Clases de obligaciones. Efectos de las obligaciones. Mora. Daño: concepto. Valuación. </w:t>
      </w:r>
    </w:p>
    <w:p w:rsidR="009964CB" w:rsidRPr="001323AB" w:rsidRDefault="009964CB" w:rsidP="009964CB">
      <w:pPr>
        <w:numPr>
          <w:ilvl w:val="0"/>
          <w:numId w:val="1"/>
        </w:numPr>
        <w:spacing w:after="120" w:line="240" w:lineRule="auto"/>
        <w:jc w:val="both"/>
        <w:rPr>
          <w:rFonts w:ascii="Arial" w:hAnsi="Arial" w:cs="Arial"/>
          <w:snapToGrid w:val="0"/>
        </w:rPr>
      </w:pPr>
      <w:r w:rsidRPr="001323AB">
        <w:rPr>
          <w:rFonts w:ascii="Arial" w:hAnsi="Arial" w:cs="Arial"/>
          <w:snapToGrid w:val="0"/>
        </w:rPr>
        <w:t xml:space="preserve">Contratos: definición. Elementos. Diferentes tipos de contratos. Efectos y extinción de contratos. Los títulos circulatorios. </w:t>
      </w:r>
      <w:r>
        <w:rPr>
          <w:rFonts w:ascii="Arial" w:hAnsi="Arial" w:cs="Arial"/>
          <w:snapToGrid w:val="0"/>
        </w:rPr>
        <w:t xml:space="preserve">Rescisión, Nulidad, Caducidad, Subrogación y Prescripción. </w:t>
      </w:r>
    </w:p>
    <w:p w:rsidR="009964CB" w:rsidRPr="001323AB" w:rsidRDefault="009964CB" w:rsidP="009964CB">
      <w:pPr>
        <w:numPr>
          <w:ilvl w:val="0"/>
          <w:numId w:val="1"/>
        </w:numPr>
        <w:spacing w:after="120" w:line="240" w:lineRule="auto"/>
        <w:jc w:val="both"/>
        <w:rPr>
          <w:rFonts w:ascii="Arial" w:hAnsi="Arial" w:cs="Arial"/>
          <w:snapToGrid w:val="0"/>
        </w:rPr>
      </w:pPr>
      <w:r w:rsidRPr="001323AB">
        <w:rPr>
          <w:rFonts w:ascii="Arial" w:hAnsi="Arial" w:cs="Arial"/>
          <w:snapToGrid w:val="0"/>
        </w:rPr>
        <w:t xml:space="preserve">El Derecho comercial. Evolución histórica. Diversas tendencias. El acto de comercio. </w:t>
      </w:r>
    </w:p>
    <w:p w:rsidR="009964CB" w:rsidRPr="001323AB" w:rsidRDefault="009964CB" w:rsidP="009964CB">
      <w:pPr>
        <w:numPr>
          <w:ilvl w:val="0"/>
          <w:numId w:val="1"/>
        </w:numPr>
        <w:spacing w:after="120" w:line="240" w:lineRule="auto"/>
        <w:jc w:val="both"/>
        <w:rPr>
          <w:rFonts w:ascii="Arial" w:hAnsi="Arial" w:cs="Arial"/>
          <w:snapToGrid w:val="0"/>
        </w:rPr>
      </w:pPr>
      <w:r w:rsidRPr="001323AB">
        <w:rPr>
          <w:rFonts w:ascii="Arial" w:hAnsi="Arial" w:cs="Arial"/>
          <w:snapToGrid w:val="0"/>
        </w:rPr>
        <w:t xml:space="preserve">Sociedades comerciales: principios generales. Elementos genéricos y específicos de las sociedades comerciales. </w:t>
      </w:r>
    </w:p>
    <w:p w:rsidR="009964CB" w:rsidRPr="001323AB" w:rsidRDefault="009964CB" w:rsidP="009964CB">
      <w:pPr>
        <w:numPr>
          <w:ilvl w:val="0"/>
          <w:numId w:val="1"/>
        </w:numPr>
        <w:spacing w:after="120" w:line="240" w:lineRule="auto"/>
        <w:jc w:val="both"/>
        <w:rPr>
          <w:rFonts w:ascii="Arial" w:hAnsi="Arial" w:cs="Arial"/>
          <w:snapToGrid w:val="0"/>
        </w:rPr>
      </w:pPr>
      <w:r w:rsidRPr="001323AB">
        <w:rPr>
          <w:rFonts w:ascii="Arial" w:hAnsi="Arial" w:cs="Arial"/>
          <w:snapToGrid w:val="0"/>
        </w:rPr>
        <w:t xml:space="preserve">Sociedades anónimas: constitución. Capital social. Responsabilidad. Clases de acciones. </w:t>
      </w:r>
    </w:p>
    <w:p w:rsidR="009964CB" w:rsidRDefault="009964CB" w:rsidP="009964CB">
      <w:pPr>
        <w:numPr>
          <w:ilvl w:val="0"/>
          <w:numId w:val="1"/>
        </w:numPr>
        <w:spacing w:after="120" w:line="240" w:lineRule="auto"/>
        <w:jc w:val="both"/>
        <w:rPr>
          <w:rFonts w:ascii="Arial" w:hAnsi="Arial" w:cs="Arial"/>
          <w:snapToGrid w:val="0"/>
        </w:rPr>
      </w:pPr>
      <w:r w:rsidRPr="001323AB">
        <w:rPr>
          <w:rFonts w:ascii="Arial" w:hAnsi="Arial" w:cs="Arial"/>
          <w:snapToGrid w:val="0"/>
        </w:rPr>
        <w:t xml:space="preserve">Sociedades cooperativas: concepto y caracteres. Constitución. Normas aplicables. </w:t>
      </w:r>
    </w:p>
    <w:p w:rsidR="009964CB" w:rsidRPr="005920ED" w:rsidRDefault="009964CB" w:rsidP="009964CB">
      <w:pPr>
        <w:numPr>
          <w:ilvl w:val="0"/>
          <w:numId w:val="1"/>
        </w:numPr>
        <w:spacing w:after="120" w:line="240" w:lineRule="auto"/>
        <w:jc w:val="both"/>
        <w:rPr>
          <w:rFonts w:ascii="Arial" w:hAnsi="Arial" w:cs="Arial"/>
        </w:rPr>
      </w:pPr>
      <w:r w:rsidRPr="005920ED">
        <w:rPr>
          <w:rFonts w:ascii="Arial" w:hAnsi="Arial" w:cs="Arial"/>
        </w:rPr>
        <w:t>Ley N° 20.091: Los aseguradores. Ámbitos de aplicación de la ley. Entidades autorizables. Condiciones de la autorización para operar. Sociedades de seguros solidarios. Ramas de seguros. Gestión de la empresa de seguros. Administración y balances. Fusión y cesión de cartera. Liquidación. Publicidad. Sanciones. La autoridad de control: la Superintendencia de Seguros de la Nación. Funciones, procedimiento administrativo y recursos judiciales. Resolución de la Superi</w:t>
      </w:r>
      <w:r>
        <w:rPr>
          <w:rFonts w:ascii="Arial" w:hAnsi="Arial" w:cs="Arial"/>
        </w:rPr>
        <w:t xml:space="preserve">ntendencia de Seguros N° 21.253 y N° 32.080. </w:t>
      </w:r>
      <w:r w:rsidRPr="005920ED">
        <w:rPr>
          <w:rFonts w:ascii="Arial" w:hAnsi="Arial" w:cs="Arial"/>
        </w:rPr>
        <w:t xml:space="preserve"> </w:t>
      </w:r>
    </w:p>
    <w:p w:rsidR="009964CB" w:rsidRPr="005920ED" w:rsidRDefault="009964CB" w:rsidP="009964CB">
      <w:pPr>
        <w:numPr>
          <w:ilvl w:val="0"/>
          <w:numId w:val="1"/>
        </w:numPr>
        <w:spacing w:after="120" w:line="240" w:lineRule="auto"/>
        <w:jc w:val="both"/>
        <w:rPr>
          <w:rFonts w:ascii="Arial" w:hAnsi="Arial" w:cs="Arial"/>
        </w:rPr>
      </w:pPr>
      <w:r w:rsidRPr="005920ED">
        <w:rPr>
          <w:rFonts w:ascii="Arial" w:hAnsi="Arial" w:cs="Arial"/>
        </w:rPr>
        <w:t>Ley N° 22.400: Los Productores-Asesores de Seguros. Definición. Registro. Remuneración. Inhabilidades. Funciones y deberes. Sanciones. Seguros comercializables masivamente. Decreto N° 855/94</w:t>
      </w:r>
    </w:p>
    <w:p w:rsidR="009964CB" w:rsidRDefault="009964CB" w:rsidP="009964CB">
      <w:pPr>
        <w:numPr>
          <w:ilvl w:val="0"/>
          <w:numId w:val="1"/>
        </w:numPr>
        <w:spacing w:after="120" w:line="240" w:lineRule="auto"/>
        <w:jc w:val="both"/>
        <w:rPr>
          <w:rFonts w:ascii="Arial" w:hAnsi="Arial" w:cs="Arial"/>
        </w:rPr>
      </w:pPr>
      <w:r w:rsidRPr="005920ED">
        <w:rPr>
          <w:rFonts w:ascii="Arial" w:hAnsi="Arial" w:cs="Arial"/>
        </w:rPr>
        <w:t xml:space="preserve">Ley N° 17.418: El Contrato de seguros. Concepto y definición. Reticencia. Póliza. Denuncias y declaraciones. Plazos. Por cuenta ajena. Prima. Caducidad. Agravación del riesgo. Denuncia del siniestro. Vencimiento de la obligación del asegurador. Rescisión por siniestro parcial. Nulidad del contrato. Intervención de auxiliares en la celebración del contrato. Determinación de la indemnización. Prescripción. Seguros de daños patrimoniales. Seguros de personas. Reaseguros. </w:t>
      </w:r>
    </w:p>
    <w:p w:rsidR="009964CB" w:rsidRDefault="009964CB" w:rsidP="009964CB">
      <w:pPr>
        <w:numPr>
          <w:ilvl w:val="0"/>
          <w:numId w:val="1"/>
        </w:numPr>
        <w:spacing w:after="120" w:line="240" w:lineRule="auto"/>
        <w:jc w:val="both"/>
        <w:rPr>
          <w:rFonts w:ascii="Arial" w:hAnsi="Arial" w:cs="Arial"/>
        </w:rPr>
      </w:pPr>
      <w:r>
        <w:rPr>
          <w:rFonts w:ascii="Arial" w:hAnsi="Arial" w:cs="Arial"/>
        </w:rPr>
        <w:t xml:space="preserve">Ley N° 12.988. Ley N° 24.557. Ley N° 26773. </w:t>
      </w:r>
    </w:p>
    <w:p w:rsidR="009964CB" w:rsidRDefault="009964CB" w:rsidP="009964CB">
      <w:pPr>
        <w:numPr>
          <w:ilvl w:val="0"/>
          <w:numId w:val="1"/>
        </w:numPr>
        <w:spacing w:after="120" w:line="240" w:lineRule="auto"/>
        <w:jc w:val="both"/>
        <w:rPr>
          <w:rFonts w:ascii="Arial" w:hAnsi="Arial" w:cs="Arial"/>
        </w:rPr>
      </w:pPr>
      <w:r>
        <w:rPr>
          <w:rFonts w:ascii="Arial" w:hAnsi="Arial" w:cs="Arial"/>
        </w:rPr>
        <w:t>Código de Comercio.</w:t>
      </w:r>
    </w:p>
    <w:p w:rsidR="009964CB" w:rsidRPr="005920ED" w:rsidRDefault="009964CB" w:rsidP="009964CB">
      <w:pPr>
        <w:numPr>
          <w:ilvl w:val="0"/>
          <w:numId w:val="1"/>
        </w:numPr>
        <w:spacing w:after="120" w:line="240" w:lineRule="auto"/>
        <w:jc w:val="both"/>
        <w:rPr>
          <w:rFonts w:ascii="Arial" w:hAnsi="Arial" w:cs="Arial"/>
        </w:rPr>
      </w:pPr>
      <w:r>
        <w:rPr>
          <w:rFonts w:ascii="Arial" w:hAnsi="Arial" w:cs="Arial"/>
        </w:rPr>
        <w:t>Código Civil. 512-1109-1113.</w:t>
      </w:r>
    </w:p>
    <w:p w:rsidR="009964CB" w:rsidRDefault="009964CB" w:rsidP="009964CB"/>
    <w:p w:rsidR="009964CB" w:rsidRDefault="009964CB" w:rsidP="009964CB">
      <w:pPr>
        <w:jc w:val="both"/>
        <w:rPr>
          <w:rFonts w:ascii="Arial" w:hAnsi="Arial" w:cs="Arial"/>
          <w:b/>
          <w:bCs/>
          <w:lang w:eastAsia="es-AR"/>
        </w:rPr>
      </w:pPr>
      <w:r>
        <w:rPr>
          <w:rFonts w:ascii="Arial" w:hAnsi="Arial" w:cs="Arial"/>
          <w:b/>
          <w:bCs/>
          <w:lang w:eastAsia="es-AR"/>
        </w:rPr>
        <w:lastRenderedPageBreak/>
        <w:t xml:space="preserve">Carga horaria mínima: 48 </w:t>
      </w:r>
      <w:proofErr w:type="spellStart"/>
      <w:r>
        <w:rPr>
          <w:rFonts w:ascii="Arial" w:hAnsi="Arial" w:cs="Arial"/>
          <w:b/>
          <w:bCs/>
          <w:lang w:eastAsia="es-AR"/>
        </w:rPr>
        <w:t>hs</w:t>
      </w:r>
      <w:proofErr w:type="spellEnd"/>
      <w:r>
        <w:rPr>
          <w:rFonts w:ascii="Arial" w:hAnsi="Arial" w:cs="Arial"/>
          <w:b/>
          <w:bCs/>
          <w:lang w:eastAsia="es-AR"/>
        </w:rPr>
        <w:t>. cátedra. </w:t>
      </w:r>
    </w:p>
    <w:p w:rsidR="009964CB" w:rsidRDefault="009964CB" w:rsidP="009964CB"/>
    <w:p w:rsidR="009964CB" w:rsidRDefault="009964CB" w:rsidP="009964CB"/>
    <w:p w:rsidR="009964CB" w:rsidRDefault="009964CB" w:rsidP="009964CB"/>
    <w:p w:rsidR="009964CB" w:rsidRPr="003422A3" w:rsidRDefault="009964CB" w:rsidP="009964CB">
      <w:pPr>
        <w:pStyle w:val="Prrafodelista"/>
        <w:numPr>
          <w:ilvl w:val="0"/>
          <w:numId w:val="11"/>
        </w:numPr>
        <w:jc w:val="both"/>
        <w:rPr>
          <w:rFonts w:ascii="Arial" w:hAnsi="Arial" w:cs="Arial"/>
          <w:b/>
          <w:smallCaps/>
        </w:rPr>
      </w:pPr>
      <w:r w:rsidRPr="003422A3">
        <w:rPr>
          <w:rFonts w:ascii="Arial" w:hAnsi="Arial" w:cs="Arial"/>
          <w:b/>
          <w:smallCaps/>
        </w:rPr>
        <w:t>INTRODUCCIÓN AL SEGURO</w:t>
      </w:r>
    </w:p>
    <w:p w:rsidR="009964CB" w:rsidRDefault="009964CB" w:rsidP="009964CB">
      <w:pPr>
        <w:pStyle w:val="Prrafodelista"/>
        <w:jc w:val="both"/>
        <w:rPr>
          <w:rFonts w:ascii="Arial" w:hAnsi="Arial" w:cs="Arial"/>
          <w:b/>
          <w:smallCaps/>
        </w:rPr>
      </w:pPr>
    </w:p>
    <w:p w:rsidR="009964CB" w:rsidRPr="0016465D" w:rsidRDefault="009964CB" w:rsidP="009964CB">
      <w:pPr>
        <w:pStyle w:val="Prrafodelista"/>
        <w:jc w:val="both"/>
        <w:rPr>
          <w:rFonts w:ascii="Arial" w:hAnsi="Arial" w:cs="Arial"/>
          <w:b/>
          <w:smallCaps/>
        </w:rPr>
      </w:pPr>
    </w:p>
    <w:p w:rsidR="009964CB" w:rsidRPr="000A368D" w:rsidRDefault="009964CB" w:rsidP="009964CB">
      <w:pPr>
        <w:numPr>
          <w:ilvl w:val="0"/>
          <w:numId w:val="2"/>
        </w:numPr>
        <w:spacing w:after="120" w:line="240" w:lineRule="auto"/>
        <w:jc w:val="both"/>
        <w:rPr>
          <w:rFonts w:ascii="Arial" w:hAnsi="Arial" w:cs="Arial"/>
          <w:u w:val="single"/>
        </w:rPr>
      </w:pPr>
      <w:r w:rsidRPr="000A368D">
        <w:rPr>
          <w:rFonts w:ascii="Arial" w:hAnsi="Arial" w:cs="Arial"/>
        </w:rPr>
        <w:t>El Seguro: Principios y evolución histórica. Fines sociales y económicos. El productor-asesor de seguros. Régimen jurídico. Distintos ramos del seguro: consideraciones generales. Seguros patrimoniales y seguros sobre las personas. Seguros principales y seguros accesorios.</w:t>
      </w:r>
    </w:p>
    <w:p w:rsidR="009964CB" w:rsidRPr="000A368D" w:rsidRDefault="009964CB" w:rsidP="009964CB">
      <w:pPr>
        <w:numPr>
          <w:ilvl w:val="0"/>
          <w:numId w:val="2"/>
        </w:numPr>
        <w:spacing w:after="120" w:line="240" w:lineRule="auto"/>
        <w:jc w:val="both"/>
        <w:rPr>
          <w:rFonts w:ascii="Arial" w:hAnsi="Arial" w:cs="Arial"/>
        </w:rPr>
      </w:pPr>
      <w:r w:rsidRPr="000A368D">
        <w:rPr>
          <w:rFonts w:ascii="Arial" w:hAnsi="Arial" w:cs="Arial"/>
        </w:rPr>
        <w:t xml:space="preserve">Mercado de Seguros: evolución y tendencias. El mercado argentino, regional e internacional. El sistema de comercialización. </w:t>
      </w:r>
    </w:p>
    <w:p w:rsidR="009964CB" w:rsidRPr="000A368D" w:rsidRDefault="009964CB" w:rsidP="009964CB">
      <w:pPr>
        <w:numPr>
          <w:ilvl w:val="0"/>
          <w:numId w:val="2"/>
        </w:numPr>
        <w:spacing w:after="120" w:line="240" w:lineRule="auto"/>
        <w:jc w:val="both"/>
        <w:rPr>
          <w:rFonts w:ascii="Arial" w:hAnsi="Arial" w:cs="Arial"/>
        </w:rPr>
      </w:pPr>
      <w:r w:rsidRPr="000A368D">
        <w:rPr>
          <w:rFonts w:ascii="Arial" w:hAnsi="Arial" w:cs="Arial"/>
        </w:rPr>
        <w:t>“Teoría de Riesgo”: Conceptos y alcances. Tipos y clasificación de riesgos. Métodos de tratamiento de los riesgos. Riesgo y seguro. Naturaleza probabilística del riesgo. Frecuencia e intensidad. Riesgos asegurables. Requisitos desde punto de vista del asegurado y del asegurador.</w:t>
      </w:r>
    </w:p>
    <w:p w:rsidR="009964CB" w:rsidRPr="000A368D" w:rsidRDefault="009964CB" w:rsidP="009964CB">
      <w:pPr>
        <w:numPr>
          <w:ilvl w:val="0"/>
          <w:numId w:val="2"/>
        </w:numPr>
        <w:spacing w:after="120" w:line="240" w:lineRule="auto"/>
        <w:jc w:val="both"/>
        <w:rPr>
          <w:rFonts w:ascii="Arial" w:hAnsi="Arial" w:cs="Arial"/>
        </w:rPr>
      </w:pPr>
      <w:r w:rsidRPr="000A368D">
        <w:rPr>
          <w:rFonts w:ascii="Arial" w:hAnsi="Arial" w:cs="Arial"/>
        </w:rPr>
        <w:t>“Teoría del Premio”: La prima y el premio. Diferentes tipos de primas. El Cálculo de una tarifa. La tarifación de los riesgos.</w:t>
      </w:r>
    </w:p>
    <w:p w:rsidR="009964CB" w:rsidRPr="000A368D" w:rsidRDefault="009964CB" w:rsidP="009964CB">
      <w:pPr>
        <w:numPr>
          <w:ilvl w:val="0"/>
          <w:numId w:val="2"/>
        </w:numPr>
        <w:spacing w:after="120" w:line="240" w:lineRule="auto"/>
        <w:jc w:val="both"/>
        <w:rPr>
          <w:rFonts w:ascii="Arial" w:hAnsi="Arial" w:cs="Arial"/>
        </w:rPr>
      </w:pPr>
      <w:r w:rsidRPr="000A368D">
        <w:rPr>
          <w:rFonts w:ascii="Arial" w:hAnsi="Arial" w:cs="Arial"/>
        </w:rPr>
        <w:t>“Teoría de las cotizaciones”: concepto, formas y métodos. Aumento y disminución de sumas aseguradas. Aumentos y disminución de tasas. Cancelaciones y reemplazos.</w:t>
      </w:r>
    </w:p>
    <w:p w:rsidR="009964CB" w:rsidRPr="000A368D" w:rsidRDefault="009964CB" w:rsidP="009964CB">
      <w:pPr>
        <w:numPr>
          <w:ilvl w:val="0"/>
          <w:numId w:val="2"/>
        </w:numPr>
        <w:spacing w:after="120" w:line="240" w:lineRule="auto"/>
        <w:jc w:val="both"/>
        <w:rPr>
          <w:rFonts w:ascii="Arial" w:hAnsi="Arial" w:cs="Arial"/>
        </w:rPr>
      </w:pPr>
      <w:r w:rsidRPr="000A368D">
        <w:rPr>
          <w:rFonts w:ascii="Arial" w:hAnsi="Arial" w:cs="Arial"/>
        </w:rPr>
        <w:t xml:space="preserve">El Siniestro: configuración y diversas posibilidades. Prescripción del reclamo. Sistemas de indemnización. Valuación y liquidación. El rol del liquidador ajustador de siniestros. Formas del resarcimiento y conceptos sobre la depreciación. La franquicia o descubierto obligatorio: razones técnicas y de prevención. Características. Tipos. </w:t>
      </w:r>
    </w:p>
    <w:p w:rsidR="009964CB" w:rsidRDefault="009964CB" w:rsidP="009964CB">
      <w:pPr>
        <w:numPr>
          <w:ilvl w:val="0"/>
          <w:numId w:val="2"/>
        </w:numPr>
        <w:spacing w:after="120" w:line="240" w:lineRule="auto"/>
        <w:jc w:val="both"/>
        <w:rPr>
          <w:rFonts w:ascii="Arial" w:hAnsi="Arial" w:cs="Arial"/>
        </w:rPr>
      </w:pPr>
      <w:r w:rsidRPr="000A368D">
        <w:rPr>
          <w:rFonts w:ascii="Arial" w:hAnsi="Arial" w:cs="Arial"/>
        </w:rPr>
        <w:t xml:space="preserve">Administración del Riesgo y Prevención: Conceptos generales. Formas de aplicación y su técnica. Análisis de riesgos – Método. Tratamiento de los riesgos dinámicos-puros. Sistemas modernos de seguridad, higiene y prevención: consideraciones generales y aspectos legales. </w:t>
      </w:r>
    </w:p>
    <w:p w:rsidR="009964CB" w:rsidRDefault="009964CB" w:rsidP="009964CB">
      <w:pPr>
        <w:numPr>
          <w:ilvl w:val="0"/>
          <w:numId w:val="2"/>
        </w:numPr>
        <w:spacing w:after="120" w:line="240" w:lineRule="auto"/>
        <w:jc w:val="both"/>
        <w:rPr>
          <w:rFonts w:ascii="Arial" w:hAnsi="Arial" w:cs="Arial"/>
        </w:rPr>
      </w:pPr>
      <w:r>
        <w:rPr>
          <w:rFonts w:ascii="Arial" w:hAnsi="Arial" w:cs="Arial"/>
        </w:rPr>
        <w:t xml:space="preserve">La estructura operativa del seguro. La empresa de seguros, tipos legales admitidos y sus características. El capital y sus funciones. Los estados patrimoniales: Activo y Pasivo. Las cuentas de resultados. Las inversiones admitidas. Situación económico-financiera de las aseguradoras. Diferentes indicadores: De tipo general, patrimoniales y financieros y de gestión operativa. Concepto y explicación de su resultado. Ejemplos y comparaciones de los indicadores entre diferentes entidades aseguradoras. </w:t>
      </w:r>
    </w:p>
    <w:p w:rsidR="009964CB" w:rsidRPr="000A368D" w:rsidRDefault="009964CB" w:rsidP="009964CB">
      <w:pPr>
        <w:numPr>
          <w:ilvl w:val="0"/>
          <w:numId w:val="2"/>
        </w:numPr>
        <w:spacing w:after="120" w:line="240" w:lineRule="auto"/>
        <w:jc w:val="both"/>
        <w:rPr>
          <w:rFonts w:ascii="Arial" w:hAnsi="Arial" w:cs="Arial"/>
        </w:rPr>
      </w:pPr>
      <w:r>
        <w:rPr>
          <w:rFonts w:ascii="Arial" w:hAnsi="Arial" w:cs="Arial"/>
        </w:rPr>
        <w:t xml:space="preserve">El Reaseguro. Concepto y formas operativas. El reaseguro y los balances. Distintas clases: Proporcionales y no Proporcionales. Características y aplicación. La retención. Reaseguros facultativos y obligatorios. Retrocesiones. </w:t>
      </w:r>
    </w:p>
    <w:p w:rsidR="009964CB" w:rsidRDefault="009964CB" w:rsidP="009964CB"/>
    <w:p w:rsidR="009964CB" w:rsidRDefault="009964CB" w:rsidP="009964CB">
      <w:pPr>
        <w:jc w:val="both"/>
        <w:rPr>
          <w:rFonts w:ascii="Arial" w:hAnsi="Arial" w:cs="Arial"/>
          <w:b/>
          <w:bCs/>
          <w:lang w:eastAsia="es-AR"/>
        </w:rPr>
      </w:pPr>
      <w:r>
        <w:rPr>
          <w:rFonts w:ascii="Arial" w:hAnsi="Arial" w:cs="Arial"/>
          <w:b/>
          <w:bCs/>
          <w:lang w:eastAsia="es-AR"/>
        </w:rPr>
        <w:t xml:space="preserve">Carga horaria mínima: 48 </w:t>
      </w:r>
      <w:proofErr w:type="spellStart"/>
      <w:r>
        <w:rPr>
          <w:rFonts w:ascii="Arial" w:hAnsi="Arial" w:cs="Arial"/>
          <w:b/>
          <w:bCs/>
          <w:lang w:eastAsia="es-AR"/>
        </w:rPr>
        <w:t>hs</w:t>
      </w:r>
      <w:proofErr w:type="spellEnd"/>
      <w:r>
        <w:rPr>
          <w:rFonts w:ascii="Arial" w:hAnsi="Arial" w:cs="Arial"/>
          <w:b/>
          <w:bCs/>
          <w:lang w:eastAsia="es-AR"/>
        </w:rPr>
        <w:t>. cátedra. </w:t>
      </w:r>
    </w:p>
    <w:p w:rsidR="009964CB" w:rsidRPr="0067203F" w:rsidRDefault="009964CB" w:rsidP="009964CB">
      <w:pPr>
        <w:spacing w:before="100" w:beforeAutospacing="1" w:after="100" w:afterAutospacing="1" w:line="240" w:lineRule="auto"/>
        <w:jc w:val="center"/>
        <w:rPr>
          <w:rFonts w:ascii="Times New Roman" w:eastAsia="Times New Roman" w:hAnsi="Times New Roman" w:cs="Times New Roman"/>
          <w:sz w:val="24"/>
          <w:szCs w:val="24"/>
          <w:lang w:eastAsia="es-AR"/>
        </w:rPr>
      </w:pPr>
      <w:r>
        <w:rPr>
          <w:rFonts w:ascii="Times New Roman" w:eastAsia="Times New Roman" w:hAnsi="Times New Roman" w:cs="Times New Roman"/>
          <w:b/>
          <w:bCs/>
          <w:sz w:val="24"/>
          <w:szCs w:val="24"/>
          <w:u w:val="single"/>
          <w:lang w:eastAsia="es-AR"/>
        </w:rPr>
        <w:lastRenderedPageBreak/>
        <w:t>B</w:t>
      </w:r>
      <w:r w:rsidRPr="0067203F">
        <w:rPr>
          <w:rFonts w:ascii="Times New Roman" w:eastAsia="Times New Roman" w:hAnsi="Times New Roman" w:cs="Times New Roman"/>
          <w:b/>
          <w:bCs/>
          <w:sz w:val="24"/>
          <w:szCs w:val="24"/>
          <w:u w:val="single"/>
          <w:lang w:eastAsia="es-AR"/>
        </w:rPr>
        <w:t xml:space="preserve">. </w:t>
      </w:r>
      <w:r>
        <w:rPr>
          <w:rFonts w:ascii="Times New Roman" w:eastAsia="Times New Roman" w:hAnsi="Times New Roman" w:cs="Times New Roman"/>
          <w:b/>
          <w:bCs/>
          <w:sz w:val="24"/>
          <w:szCs w:val="24"/>
          <w:u w:val="single"/>
          <w:lang w:eastAsia="es-AR"/>
        </w:rPr>
        <w:t>–</w:t>
      </w:r>
      <w:r w:rsidRPr="0067203F">
        <w:rPr>
          <w:rFonts w:ascii="Times New Roman" w:eastAsia="Times New Roman" w:hAnsi="Times New Roman" w:cs="Times New Roman"/>
          <w:b/>
          <w:bCs/>
          <w:sz w:val="24"/>
          <w:szCs w:val="24"/>
          <w:u w:val="single"/>
          <w:lang w:eastAsia="es-AR"/>
        </w:rPr>
        <w:t xml:space="preserve"> </w:t>
      </w:r>
      <w:r>
        <w:rPr>
          <w:rFonts w:ascii="Times New Roman" w:eastAsia="Times New Roman" w:hAnsi="Times New Roman" w:cs="Times New Roman"/>
          <w:b/>
          <w:bCs/>
          <w:sz w:val="24"/>
          <w:szCs w:val="24"/>
          <w:u w:val="single"/>
          <w:lang w:eastAsia="es-AR"/>
        </w:rPr>
        <w:t xml:space="preserve">RECURSOS TÉCNICOS (160 </w:t>
      </w:r>
      <w:proofErr w:type="spellStart"/>
      <w:r>
        <w:rPr>
          <w:rFonts w:ascii="Times New Roman" w:eastAsia="Times New Roman" w:hAnsi="Times New Roman" w:cs="Times New Roman"/>
          <w:b/>
          <w:bCs/>
          <w:sz w:val="24"/>
          <w:szCs w:val="24"/>
          <w:u w:val="single"/>
          <w:lang w:eastAsia="es-AR"/>
        </w:rPr>
        <w:t>hs</w:t>
      </w:r>
      <w:proofErr w:type="spellEnd"/>
      <w:r>
        <w:rPr>
          <w:rFonts w:ascii="Times New Roman" w:eastAsia="Times New Roman" w:hAnsi="Times New Roman" w:cs="Times New Roman"/>
          <w:b/>
          <w:bCs/>
          <w:sz w:val="24"/>
          <w:szCs w:val="24"/>
          <w:u w:val="single"/>
          <w:lang w:eastAsia="es-AR"/>
        </w:rPr>
        <w:t>. totales)</w:t>
      </w:r>
    </w:p>
    <w:p w:rsidR="009964CB" w:rsidRDefault="009964CB" w:rsidP="009964CB">
      <w:pPr>
        <w:jc w:val="both"/>
        <w:rPr>
          <w:rFonts w:ascii="Arial" w:hAnsi="Arial" w:cs="Arial"/>
          <w:b/>
          <w:bCs/>
          <w:lang w:eastAsia="es-AR"/>
        </w:rPr>
      </w:pPr>
    </w:p>
    <w:p w:rsidR="009964CB" w:rsidRDefault="009964CB" w:rsidP="009964CB">
      <w:pPr>
        <w:jc w:val="both"/>
        <w:rPr>
          <w:rFonts w:ascii="Arial" w:hAnsi="Arial" w:cs="Arial"/>
          <w:b/>
          <w:bCs/>
          <w:lang w:eastAsia="es-AR"/>
        </w:rPr>
      </w:pPr>
    </w:p>
    <w:p w:rsidR="009964CB" w:rsidRPr="00C84128" w:rsidRDefault="009964CB" w:rsidP="009964CB">
      <w:pPr>
        <w:pStyle w:val="Prrafodelista"/>
        <w:numPr>
          <w:ilvl w:val="0"/>
          <w:numId w:val="12"/>
        </w:numPr>
        <w:spacing w:after="120"/>
        <w:jc w:val="both"/>
        <w:rPr>
          <w:rFonts w:ascii="Arial" w:hAnsi="Arial" w:cs="Arial"/>
          <w:b/>
        </w:rPr>
      </w:pPr>
      <w:r w:rsidRPr="00C84128">
        <w:rPr>
          <w:rFonts w:ascii="Arial" w:hAnsi="Arial" w:cs="Arial"/>
          <w:b/>
        </w:rPr>
        <w:t xml:space="preserve">CULTURA DE LA PREVENCIÓN </w:t>
      </w:r>
    </w:p>
    <w:p w:rsidR="009964CB" w:rsidRPr="001B5FEF" w:rsidRDefault="009964CB" w:rsidP="009964CB">
      <w:pPr>
        <w:spacing w:after="120"/>
        <w:jc w:val="both"/>
        <w:rPr>
          <w:rFonts w:ascii="Arial" w:hAnsi="Arial" w:cs="Arial"/>
          <w:b/>
        </w:rPr>
      </w:pPr>
    </w:p>
    <w:p w:rsidR="009964CB" w:rsidRPr="000A368D" w:rsidRDefault="009964CB" w:rsidP="009964CB">
      <w:pPr>
        <w:numPr>
          <w:ilvl w:val="0"/>
          <w:numId w:val="2"/>
        </w:numPr>
        <w:spacing w:after="120" w:line="240" w:lineRule="auto"/>
        <w:jc w:val="both"/>
        <w:rPr>
          <w:rFonts w:ascii="Arial" w:hAnsi="Arial" w:cs="Arial"/>
          <w:u w:val="single"/>
        </w:rPr>
      </w:pPr>
      <w:r>
        <w:rPr>
          <w:rFonts w:ascii="Arial" w:hAnsi="Arial" w:cs="Arial"/>
        </w:rPr>
        <w:t xml:space="preserve">Los diferentes conceptos de cultura. La construcción de una cultura y el entorno discursivo. El orden ideológico. Culturas en el tiempo y en el espacio. </w:t>
      </w:r>
    </w:p>
    <w:p w:rsidR="009964CB" w:rsidRPr="000A368D" w:rsidRDefault="009964CB" w:rsidP="009964CB">
      <w:pPr>
        <w:numPr>
          <w:ilvl w:val="0"/>
          <w:numId w:val="2"/>
        </w:numPr>
        <w:spacing w:after="120" w:line="240" w:lineRule="auto"/>
        <w:jc w:val="both"/>
        <w:rPr>
          <w:rFonts w:ascii="Arial" w:hAnsi="Arial" w:cs="Arial"/>
        </w:rPr>
      </w:pPr>
      <w:r>
        <w:rPr>
          <w:rFonts w:ascii="Arial" w:hAnsi="Arial" w:cs="Arial"/>
        </w:rPr>
        <w:t xml:space="preserve">Las sociedades humanas ante lo aleatorio. La mutualidad de riesgo como respuesta colectiva. </w:t>
      </w:r>
    </w:p>
    <w:p w:rsidR="009964CB" w:rsidRPr="000A368D" w:rsidRDefault="009964CB" w:rsidP="009964CB">
      <w:pPr>
        <w:numPr>
          <w:ilvl w:val="0"/>
          <w:numId w:val="2"/>
        </w:numPr>
        <w:spacing w:after="120" w:line="240" w:lineRule="auto"/>
        <w:jc w:val="both"/>
        <w:rPr>
          <w:rFonts w:ascii="Arial" w:hAnsi="Arial" w:cs="Arial"/>
        </w:rPr>
      </w:pPr>
      <w:r>
        <w:rPr>
          <w:rFonts w:ascii="Arial" w:hAnsi="Arial" w:cs="Arial"/>
        </w:rPr>
        <w:t xml:space="preserve">La construcción de una cultura de la prevención. Casos. Articulación entre el Estado, el sector privado y la ciudadanía. El papel del PAS en la generación de cultura de la prevención. </w:t>
      </w:r>
    </w:p>
    <w:p w:rsidR="009964CB" w:rsidRPr="000A368D" w:rsidRDefault="009964CB" w:rsidP="009964CB">
      <w:pPr>
        <w:numPr>
          <w:ilvl w:val="0"/>
          <w:numId w:val="2"/>
        </w:numPr>
        <w:spacing w:after="120" w:line="240" w:lineRule="auto"/>
        <w:jc w:val="both"/>
        <w:rPr>
          <w:rFonts w:ascii="Arial" w:hAnsi="Arial" w:cs="Arial"/>
        </w:rPr>
      </w:pPr>
      <w:r>
        <w:rPr>
          <w:rFonts w:ascii="Arial" w:hAnsi="Arial" w:cs="Arial"/>
        </w:rPr>
        <w:t xml:space="preserve">Economía y seguros. El seguro como herramienta de previsión. Relación PBI – </w:t>
      </w:r>
      <w:proofErr w:type="spellStart"/>
      <w:r>
        <w:rPr>
          <w:rFonts w:ascii="Arial" w:hAnsi="Arial" w:cs="Arial"/>
        </w:rPr>
        <w:t>primaje</w:t>
      </w:r>
      <w:proofErr w:type="spellEnd"/>
      <w:r>
        <w:rPr>
          <w:rFonts w:ascii="Arial" w:hAnsi="Arial" w:cs="Arial"/>
        </w:rPr>
        <w:t xml:space="preserve">. El desarrollo equilibrado de ramos como indicador  de conciencia aseguradora. </w:t>
      </w:r>
    </w:p>
    <w:p w:rsidR="009964CB" w:rsidRDefault="009964CB" w:rsidP="009964CB">
      <w:pPr>
        <w:numPr>
          <w:ilvl w:val="0"/>
          <w:numId w:val="2"/>
        </w:numPr>
        <w:spacing w:after="120" w:line="240" w:lineRule="auto"/>
        <w:jc w:val="both"/>
        <w:rPr>
          <w:rFonts w:ascii="Arial" w:hAnsi="Arial" w:cs="Arial"/>
        </w:rPr>
      </w:pPr>
      <w:r>
        <w:rPr>
          <w:rFonts w:ascii="Arial" w:hAnsi="Arial" w:cs="Arial"/>
        </w:rPr>
        <w:t xml:space="preserve">Necesidad de una política amplia del sector para el incremento de la conciencia aseguradora. El Programa de “Desarrollo de la Cultura de la Prevención” de SSN y FAPASA. Actualidad y desarrollo. </w:t>
      </w:r>
    </w:p>
    <w:p w:rsidR="009964CB" w:rsidRDefault="009964CB" w:rsidP="009964CB">
      <w:pPr>
        <w:spacing w:after="120"/>
        <w:jc w:val="both"/>
        <w:rPr>
          <w:rFonts w:ascii="Arial" w:hAnsi="Arial" w:cs="Arial"/>
          <w:b/>
        </w:rPr>
      </w:pPr>
    </w:p>
    <w:p w:rsidR="009964CB" w:rsidRDefault="009964CB" w:rsidP="009964CB">
      <w:pPr>
        <w:spacing w:after="120"/>
        <w:jc w:val="both"/>
        <w:rPr>
          <w:rFonts w:ascii="Arial" w:hAnsi="Arial" w:cs="Arial"/>
          <w:b/>
          <w:bCs/>
          <w:lang w:eastAsia="es-AR"/>
        </w:rPr>
      </w:pPr>
      <w:r>
        <w:rPr>
          <w:rFonts w:ascii="Arial" w:hAnsi="Arial" w:cs="Arial"/>
          <w:b/>
          <w:bCs/>
          <w:lang w:eastAsia="es-AR"/>
        </w:rPr>
        <w:t xml:space="preserve">Carga horaria mínima: 32 </w:t>
      </w:r>
      <w:proofErr w:type="spellStart"/>
      <w:r>
        <w:rPr>
          <w:rFonts w:ascii="Arial" w:hAnsi="Arial" w:cs="Arial"/>
          <w:b/>
          <w:bCs/>
          <w:lang w:eastAsia="es-AR"/>
        </w:rPr>
        <w:t>hs</w:t>
      </w:r>
      <w:proofErr w:type="spellEnd"/>
      <w:r>
        <w:rPr>
          <w:rFonts w:ascii="Arial" w:hAnsi="Arial" w:cs="Arial"/>
          <w:b/>
          <w:bCs/>
          <w:lang w:eastAsia="es-AR"/>
        </w:rPr>
        <w:t>. cátedra. </w:t>
      </w:r>
    </w:p>
    <w:p w:rsidR="009964CB" w:rsidRDefault="009964CB" w:rsidP="009964CB">
      <w:pPr>
        <w:spacing w:after="120"/>
        <w:jc w:val="both"/>
        <w:rPr>
          <w:rFonts w:ascii="Arial" w:hAnsi="Arial" w:cs="Arial"/>
          <w:b/>
          <w:bCs/>
          <w:lang w:eastAsia="es-AR"/>
        </w:rPr>
      </w:pPr>
    </w:p>
    <w:p w:rsidR="009964CB" w:rsidRDefault="009964CB" w:rsidP="009964CB">
      <w:pPr>
        <w:spacing w:after="120"/>
        <w:jc w:val="both"/>
        <w:rPr>
          <w:rFonts w:ascii="Arial" w:hAnsi="Arial" w:cs="Arial"/>
          <w:b/>
        </w:rPr>
      </w:pPr>
    </w:p>
    <w:p w:rsidR="009964CB" w:rsidRPr="00C84128" w:rsidRDefault="009964CB" w:rsidP="009964CB">
      <w:pPr>
        <w:pStyle w:val="Prrafodelista"/>
        <w:numPr>
          <w:ilvl w:val="0"/>
          <w:numId w:val="12"/>
        </w:numPr>
        <w:jc w:val="both"/>
        <w:rPr>
          <w:rFonts w:ascii="Arial" w:hAnsi="Arial" w:cs="Arial"/>
          <w:b/>
        </w:rPr>
      </w:pPr>
      <w:r w:rsidRPr="00C84128">
        <w:rPr>
          <w:rFonts w:ascii="Arial" w:hAnsi="Arial" w:cs="Arial"/>
          <w:b/>
        </w:rPr>
        <w:t>DEFENSA DEL ASEGURADO</w:t>
      </w:r>
    </w:p>
    <w:p w:rsidR="009964CB" w:rsidRDefault="009964CB" w:rsidP="009964CB">
      <w:pPr>
        <w:pStyle w:val="Prrafodelista"/>
        <w:jc w:val="both"/>
        <w:rPr>
          <w:rFonts w:ascii="Arial" w:hAnsi="Arial" w:cs="Arial"/>
          <w:b/>
        </w:rPr>
      </w:pPr>
    </w:p>
    <w:p w:rsidR="009964CB" w:rsidRPr="002312FF" w:rsidRDefault="009964CB" w:rsidP="009964CB">
      <w:pPr>
        <w:pStyle w:val="Prrafodelista"/>
        <w:jc w:val="both"/>
        <w:rPr>
          <w:rFonts w:ascii="Arial" w:hAnsi="Arial" w:cs="Arial"/>
          <w:b/>
        </w:rPr>
      </w:pPr>
    </w:p>
    <w:p w:rsidR="009964CB" w:rsidRDefault="009964CB" w:rsidP="009964CB">
      <w:pPr>
        <w:pStyle w:val="Standard"/>
        <w:numPr>
          <w:ilvl w:val="0"/>
          <w:numId w:val="4"/>
        </w:numPr>
        <w:spacing w:after="120"/>
        <w:ind w:left="720" w:hanging="360"/>
        <w:jc w:val="both"/>
        <w:rPr>
          <w:rFonts w:ascii="Arial" w:hAnsi="Arial" w:cs="Arial"/>
        </w:rPr>
      </w:pPr>
      <w:r w:rsidRPr="00542055">
        <w:rPr>
          <w:rFonts w:ascii="Arial" w:hAnsi="Arial" w:cs="Arial"/>
        </w:rPr>
        <w:t>El Derecho del Consumo. Desarrollo y aplicación. La ética como problemática subjetiva. La ética en el manejo de la información y en la toma de decisiones.</w:t>
      </w:r>
    </w:p>
    <w:p w:rsidR="009964CB" w:rsidRDefault="009964CB" w:rsidP="009964CB">
      <w:pPr>
        <w:pStyle w:val="Standard"/>
        <w:numPr>
          <w:ilvl w:val="0"/>
          <w:numId w:val="4"/>
        </w:numPr>
        <w:spacing w:after="120"/>
        <w:ind w:left="720" w:hanging="360"/>
        <w:jc w:val="both"/>
        <w:rPr>
          <w:rFonts w:ascii="Arial" w:hAnsi="Arial" w:cs="Arial"/>
        </w:rPr>
      </w:pPr>
      <w:r w:rsidRPr="00542055">
        <w:rPr>
          <w:rFonts w:ascii="Arial" w:hAnsi="Arial" w:cs="Arial"/>
        </w:rPr>
        <w:t>Noción de contratos de consumo. Aspectos subjetivo y objetivo.</w:t>
      </w:r>
    </w:p>
    <w:p w:rsidR="009964CB" w:rsidRDefault="009964CB" w:rsidP="009964CB">
      <w:pPr>
        <w:pStyle w:val="Standard"/>
        <w:numPr>
          <w:ilvl w:val="0"/>
          <w:numId w:val="4"/>
        </w:numPr>
        <w:spacing w:after="120"/>
        <w:ind w:left="720" w:hanging="360"/>
        <w:jc w:val="both"/>
        <w:rPr>
          <w:rFonts w:ascii="Arial" w:hAnsi="Arial" w:cs="Arial"/>
        </w:rPr>
      </w:pPr>
      <w:r w:rsidRPr="00FD2034">
        <w:rPr>
          <w:rFonts w:ascii="Arial" w:hAnsi="Arial" w:cs="Arial"/>
        </w:rPr>
        <w:t>Su consagración legislativa: Constitución Nacional y leyes específicas. La ley Nº 24.240, su reforma y reglamentación. El tema en la reglamentación de la SSN y en el Plan Nacional Estratégico del Seguro.</w:t>
      </w:r>
    </w:p>
    <w:p w:rsidR="009964CB" w:rsidRDefault="009964CB" w:rsidP="009964CB">
      <w:pPr>
        <w:pStyle w:val="Standard"/>
        <w:numPr>
          <w:ilvl w:val="0"/>
          <w:numId w:val="4"/>
        </w:numPr>
        <w:spacing w:after="120"/>
        <w:ind w:left="720" w:hanging="360"/>
        <w:jc w:val="both"/>
        <w:rPr>
          <w:rFonts w:ascii="Arial" w:hAnsi="Arial" w:cs="Arial"/>
        </w:rPr>
      </w:pPr>
      <w:r w:rsidRPr="00FD2034">
        <w:rPr>
          <w:rFonts w:ascii="Arial" w:hAnsi="Arial" w:cs="Arial"/>
        </w:rPr>
        <w:t xml:space="preserve">El espíritu de la legislación y sus aplicaciones prácticas en la Ley Nº 17.418. La jurisprudencia. </w:t>
      </w:r>
    </w:p>
    <w:p w:rsidR="009964CB" w:rsidRPr="00FD2034" w:rsidRDefault="009964CB" w:rsidP="009964CB">
      <w:pPr>
        <w:pStyle w:val="Standard"/>
        <w:numPr>
          <w:ilvl w:val="0"/>
          <w:numId w:val="4"/>
        </w:numPr>
        <w:spacing w:after="120"/>
        <w:ind w:left="720" w:hanging="360"/>
        <w:jc w:val="both"/>
        <w:rPr>
          <w:rFonts w:ascii="Arial" w:hAnsi="Arial" w:cs="Arial"/>
        </w:rPr>
      </w:pPr>
      <w:r w:rsidRPr="00FD2034">
        <w:rPr>
          <w:rFonts w:ascii="Arial" w:hAnsi="Arial" w:cs="Arial"/>
        </w:rPr>
        <w:t>Eficiencias y deficiencias de esa protección.</w:t>
      </w:r>
    </w:p>
    <w:p w:rsidR="009964CB" w:rsidRDefault="009964CB" w:rsidP="009964CB">
      <w:pPr>
        <w:pStyle w:val="Standard"/>
        <w:numPr>
          <w:ilvl w:val="0"/>
          <w:numId w:val="4"/>
        </w:numPr>
        <w:spacing w:after="120"/>
        <w:ind w:left="720" w:hanging="360"/>
        <w:jc w:val="both"/>
      </w:pPr>
      <w:r>
        <w:rPr>
          <w:rFonts w:ascii="Arial" w:hAnsi="Arial" w:cs="Arial"/>
        </w:rPr>
        <w:t>La defensa del asegurado (consumidor) en el Contrato de Seguros.</w:t>
      </w:r>
    </w:p>
    <w:p w:rsidR="009964CB" w:rsidRDefault="009964CB" w:rsidP="009964CB">
      <w:pPr>
        <w:pStyle w:val="Standard"/>
        <w:numPr>
          <w:ilvl w:val="0"/>
          <w:numId w:val="4"/>
        </w:numPr>
        <w:spacing w:after="120"/>
        <w:ind w:left="720" w:hanging="360"/>
        <w:jc w:val="both"/>
      </w:pPr>
      <w:r>
        <w:rPr>
          <w:rFonts w:ascii="Arial" w:hAnsi="Arial" w:cs="Arial"/>
        </w:rPr>
        <w:lastRenderedPageBreak/>
        <w:t>La compatibilización de ambos regímenes. Evolución jurisprudencial y reglamentaria.</w:t>
      </w:r>
    </w:p>
    <w:p w:rsidR="009964CB" w:rsidRDefault="009964CB" w:rsidP="009964CB">
      <w:pPr>
        <w:pStyle w:val="Standard"/>
        <w:numPr>
          <w:ilvl w:val="0"/>
          <w:numId w:val="4"/>
        </w:numPr>
        <w:spacing w:after="120"/>
        <w:ind w:left="720" w:hanging="360"/>
        <w:jc w:val="both"/>
      </w:pPr>
      <w:r>
        <w:rPr>
          <w:rFonts w:ascii="Arial" w:hAnsi="Arial" w:cs="Arial"/>
        </w:rPr>
        <w:t>Problemáticas específicas en la Defensa del Asegurado.</w:t>
      </w:r>
    </w:p>
    <w:p w:rsidR="009964CB" w:rsidRDefault="009964CB" w:rsidP="009964CB">
      <w:pPr>
        <w:pStyle w:val="Standard"/>
        <w:numPr>
          <w:ilvl w:val="0"/>
          <w:numId w:val="4"/>
        </w:numPr>
        <w:spacing w:after="120"/>
        <w:ind w:left="720" w:hanging="360"/>
        <w:jc w:val="both"/>
        <w:rPr>
          <w:rFonts w:ascii="Arial" w:hAnsi="Arial" w:cs="Arial"/>
        </w:rPr>
      </w:pPr>
      <w:r w:rsidRPr="00753C28">
        <w:rPr>
          <w:rFonts w:ascii="Arial" w:hAnsi="Arial" w:cs="Arial"/>
        </w:rPr>
        <w:t>El rol del asesoramiento.</w:t>
      </w:r>
    </w:p>
    <w:p w:rsidR="009964CB" w:rsidRDefault="009964CB" w:rsidP="009964CB">
      <w:pPr>
        <w:pStyle w:val="Standard"/>
        <w:numPr>
          <w:ilvl w:val="0"/>
          <w:numId w:val="4"/>
        </w:numPr>
        <w:spacing w:after="120"/>
        <w:ind w:left="720" w:hanging="360"/>
        <w:jc w:val="both"/>
        <w:rPr>
          <w:rFonts w:ascii="Arial" w:hAnsi="Arial" w:cs="Arial"/>
        </w:rPr>
      </w:pPr>
      <w:r w:rsidRPr="0084657E">
        <w:rPr>
          <w:rFonts w:ascii="Arial" w:hAnsi="Arial" w:cs="Arial"/>
        </w:rPr>
        <w:t>Fallos. La DOAA. El Defensor del Asegurado.</w:t>
      </w:r>
    </w:p>
    <w:p w:rsidR="009964CB" w:rsidRDefault="009964CB" w:rsidP="009964CB">
      <w:pPr>
        <w:pStyle w:val="Standard"/>
        <w:numPr>
          <w:ilvl w:val="0"/>
          <w:numId w:val="4"/>
        </w:numPr>
        <w:spacing w:after="120"/>
        <w:ind w:left="720" w:hanging="360"/>
        <w:jc w:val="both"/>
        <w:rPr>
          <w:rFonts w:ascii="Arial" w:hAnsi="Arial" w:cs="Arial"/>
        </w:rPr>
      </w:pPr>
      <w:r w:rsidRPr="0084657E">
        <w:rPr>
          <w:rFonts w:ascii="Arial" w:hAnsi="Arial" w:cs="Arial"/>
        </w:rPr>
        <w:t>Cláusulas abusivas. Análisis mediante la Ley de Seguros y mediante las normas de defensa del consumidor: coincidencias y diferencias (ejemplos).</w:t>
      </w:r>
    </w:p>
    <w:p w:rsidR="009964CB" w:rsidRPr="0084657E" w:rsidRDefault="009964CB" w:rsidP="009964CB">
      <w:pPr>
        <w:pStyle w:val="Standard"/>
        <w:numPr>
          <w:ilvl w:val="0"/>
          <w:numId w:val="4"/>
        </w:numPr>
        <w:spacing w:after="120"/>
        <w:ind w:left="720" w:hanging="360"/>
        <w:jc w:val="both"/>
        <w:rPr>
          <w:rFonts w:ascii="Arial" w:hAnsi="Arial" w:cs="Arial"/>
        </w:rPr>
      </w:pPr>
      <w:r w:rsidRPr="0084657E">
        <w:rPr>
          <w:rFonts w:ascii="Arial" w:hAnsi="Arial" w:cs="Arial"/>
        </w:rPr>
        <w:t xml:space="preserve">Los procedimientos abusivos. Cláusulas Sorpresivas (el caso </w:t>
      </w:r>
      <w:proofErr w:type="spellStart"/>
      <w:r w:rsidRPr="00483094">
        <w:rPr>
          <w:rStyle w:val="Textoennegrita"/>
          <w:rFonts w:ascii="Arial" w:hAnsi="Arial" w:cs="Arial"/>
          <w:color w:val="222222"/>
          <w:shd w:val="clear" w:color="auto" w:fill="FFFFFF"/>
        </w:rPr>
        <w:t>Zalazar</w:t>
      </w:r>
      <w:proofErr w:type="spellEnd"/>
      <w:r w:rsidRPr="00483094">
        <w:rPr>
          <w:rStyle w:val="Textoennegrita"/>
          <w:rFonts w:ascii="Arial" w:hAnsi="Arial" w:cs="Arial"/>
          <w:color w:val="222222"/>
          <w:shd w:val="clear" w:color="auto" w:fill="FFFFFF"/>
        </w:rPr>
        <w:t xml:space="preserve"> Karina Verónica c/ González </w:t>
      </w:r>
      <w:proofErr w:type="spellStart"/>
      <w:r w:rsidRPr="00483094">
        <w:rPr>
          <w:rStyle w:val="Textoennegrita"/>
          <w:rFonts w:ascii="Arial" w:hAnsi="Arial" w:cs="Arial"/>
          <w:color w:val="222222"/>
          <w:shd w:val="clear" w:color="auto" w:fill="FFFFFF"/>
        </w:rPr>
        <w:t>Maccarrone</w:t>
      </w:r>
      <w:proofErr w:type="spellEnd"/>
      <w:r w:rsidRPr="00483094">
        <w:rPr>
          <w:rStyle w:val="Textoennegrita"/>
          <w:rFonts w:ascii="Arial" w:hAnsi="Arial" w:cs="Arial"/>
          <w:color w:val="222222"/>
          <w:shd w:val="clear" w:color="auto" w:fill="FFFFFF"/>
        </w:rPr>
        <w:t xml:space="preserve"> de </w:t>
      </w:r>
      <w:proofErr w:type="spellStart"/>
      <w:r w:rsidRPr="00483094">
        <w:rPr>
          <w:rStyle w:val="Textoennegrita"/>
          <w:rFonts w:ascii="Arial" w:hAnsi="Arial" w:cs="Arial"/>
          <w:color w:val="222222"/>
          <w:shd w:val="clear" w:color="auto" w:fill="FFFFFF"/>
        </w:rPr>
        <w:t>Carrela</w:t>
      </w:r>
      <w:proofErr w:type="spellEnd"/>
      <w:r w:rsidRPr="00483094">
        <w:rPr>
          <w:rStyle w:val="Textoennegrita"/>
          <w:rFonts w:ascii="Arial" w:hAnsi="Arial" w:cs="Arial"/>
          <w:color w:val="222222"/>
          <w:shd w:val="clear" w:color="auto" w:fill="FFFFFF"/>
        </w:rPr>
        <w:t xml:space="preserve"> Ana Isabel </w:t>
      </w:r>
      <w:r w:rsidRPr="00483094">
        <w:rPr>
          <w:rStyle w:val="apple-converted-space"/>
          <w:rFonts w:ascii="Arial" w:hAnsi="Arial" w:cs="Arial"/>
          <w:b/>
          <w:bCs/>
          <w:color w:val="222222"/>
          <w:shd w:val="clear" w:color="auto" w:fill="FFFFFF"/>
        </w:rPr>
        <w:t> </w:t>
      </w:r>
      <w:r w:rsidRPr="00483094">
        <w:rPr>
          <w:rStyle w:val="Textoennegrita"/>
          <w:rFonts w:ascii="Arial" w:hAnsi="Arial" w:cs="Arial"/>
          <w:color w:val="222222"/>
          <w:shd w:val="clear" w:color="auto" w:fill="FFFFFF"/>
        </w:rPr>
        <w:t>s/ Daños de Perjuicios).</w:t>
      </w:r>
    </w:p>
    <w:p w:rsidR="009964CB" w:rsidRDefault="009964CB" w:rsidP="009964CB">
      <w:pPr>
        <w:pStyle w:val="Standard"/>
        <w:numPr>
          <w:ilvl w:val="0"/>
          <w:numId w:val="4"/>
        </w:numPr>
        <w:spacing w:after="120"/>
        <w:ind w:left="720" w:hanging="360"/>
        <w:jc w:val="both"/>
      </w:pPr>
      <w:r>
        <w:rPr>
          <w:rFonts w:ascii="Arial" w:hAnsi="Arial" w:cs="Arial"/>
        </w:rPr>
        <w:t>La problemática de las ventas sin asesoramiento. Casos.</w:t>
      </w:r>
    </w:p>
    <w:p w:rsidR="009964CB" w:rsidRDefault="009964CB" w:rsidP="009964CB"/>
    <w:p w:rsidR="009964CB" w:rsidRDefault="009964CB" w:rsidP="009964CB">
      <w:pPr>
        <w:jc w:val="both"/>
        <w:rPr>
          <w:rFonts w:ascii="Arial" w:hAnsi="Arial" w:cs="Arial"/>
          <w:b/>
          <w:bCs/>
          <w:lang w:eastAsia="es-AR"/>
        </w:rPr>
      </w:pPr>
      <w:r>
        <w:rPr>
          <w:rFonts w:ascii="Arial" w:hAnsi="Arial" w:cs="Arial"/>
          <w:b/>
          <w:bCs/>
          <w:lang w:eastAsia="es-AR"/>
        </w:rPr>
        <w:t xml:space="preserve">Carga horaria mínima: 32 </w:t>
      </w:r>
      <w:proofErr w:type="spellStart"/>
      <w:r>
        <w:rPr>
          <w:rFonts w:ascii="Arial" w:hAnsi="Arial" w:cs="Arial"/>
          <w:b/>
          <w:bCs/>
          <w:lang w:eastAsia="es-AR"/>
        </w:rPr>
        <w:t>hs</w:t>
      </w:r>
      <w:proofErr w:type="spellEnd"/>
      <w:r>
        <w:rPr>
          <w:rFonts w:ascii="Arial" w:hAnsi="Arial" w:cs="Arial"/>
          <w:b/>
          <w:bCs/>
          <w:lang w:eastAsia="es-AR"/>
        </w:rPr>
        <w:t>. cátedra. </w:t>
      </w:r>
    </w:p>
    <w:p w:rsidR="009964CB" w:rsidRDefault="009964CB" w:rsidP="009964CB">
      <w:pPr>
        <w:jc w:val="both"/>
        <w:rPr>
          <w:rFonts w:ascii="Arial" w:hAnsi="Arial" w:cs="Arial"/>
          <w:b/>
          <w:bCs/>
          <w:lang w:eastAsia="es-AR"/>
        </w:rPr>
      </w:pPr>
    </w:p>
    <w:p w:rsidR="009964CB" w:rsidRDefault="009964CB" w:rsidP="009964CB">
      <w:pPr>
        <w:jc w:val="both"/>
        <w:rPr>
          <w:rFonts w:ascii="Arial" w:hAnsi="Arial" w:cs="Arial"/>
          <w:b/>
          <w:bCs/>
          <w:lang w:eastAsia="es-AR"/>
        </w:rPr>
      </w:pPr>
    </w:p>
    <w:p w:rsidR="009964CB" w:rsidRDefault="009964CB" w:rsidP="009964CB">
      <w:pPr>
        <w:pStyle w:val="Prrafodelista"/>
        <w:numPr>
          <w:ilvl w:val="0"/>
          <w:numId w:val="12"/>
        </w:numPr>
        <w:spacing w:after="120"/>
        <w:jc w:val="both"/>
        <w:rPr>
          <w:rFonts w:ascii="Arial" w:hAnsi="Arial" w:cs="Arial"/>
          <w:b/>
        </w:rPr>
      </w:pPr>
      <w:r w:rsidRPr="001B5FEF">
        <w:rPr>
          <w:rFonts w:ascii="Arial" w:hAnsi="Arial" w:cs="Arial"/>
          <w:b/>
        </w:rPr>
        <w:t>LA ACTIVIDAD DEL PAS</w:t>
      </w:r>
    </w:p>
    <w:p w:rsidR="009964CB" w:rsidRPr="001B5FEF" w:rsidRDefault="009964CB" w:rsidP="009964CB">
      <w:pPr>
        <w:spacing w:after="120"/>
        <w:jc w:val="both"/>
        <w:rPr>
          <w:rFonts w:ascii="Arial" w:hAnsi="Arial" w:cs="Arial"/>
          <w:b/>
        </w:rPr>
      </w:pPr>
    </w:p>
    <w:p w:rsidR="009964CB" w:rsidRPr="007104ED" w:rsidRDefault="009964CB" w:rsidP="009964CB">
      <w:pPr>
        <w:numPr>
          <w:ilvl w:val="0"/>
          <w:numId w:val="5"/>
        </w:numPr>
        <w:spacing w:after="120" w:line="240" w:lineRule="auto"/>
        <w:jc w:val="both"/>
        <w:rPr>
          <w:rFonts w:ascii="Arial" w:hAnsi="Arial" w:cs="Arial"/>
        </w:rPr>
      </w:pPr>
      <w:r>
        <w:rPr>
          <w:rFonts w:ascii="Arial" w:hAnsi="Arial" w:cs="Arial"/>
        </w:rPr>
        <w:t>El Programa de Capacitación Continuada y la importancia de la actualización de conocimientos.</w:t>
      </w:r>
    </w:p>
    <w:p w:rsidR="009964CB" w:rsidRPr="007104ED" w:rsidRDefault="009964CB" w:rsidP="009964CB">
      <w:pPr>
        <w:numPr>
          <w:ilvl w:val="0"/>
          <w:numId w:val="5"/>
        </w:numPr>
        <w:spacing w:after="120" w:line="240" w:lineRule="auto"/>
        <w:jc w:val="both"/>
        <w:rPr>
          <w:rFonts w:ascii="Arial" w:hAnsi="Arial" w:cs="Arial"/>
        </w:rPr>
      </w:pPr>
      <w:r>
        <w:rPr>
          <w:rFonts w:ascii="Arial" w:hAnsi="Arial" w:cs="Arial"/>
        </w:rPr>
        <w:t>Los registros obligatorios. Funcionalidad e importancia.</w:t>
      </w:r>
    </w:p>
    <w:p w:rsidR="009964CB" w:rsidRDefault="009964CB" w:rsidP="009964CB">
      <w:pPr>
        <w:numPr>
          <w:ilvl w:val="0"/>
          <w:numId w:val="5"/>
        </w:numPr>
        <w:spacing w:after="120" w:line="240" w:lineRule="auto"/>
        <w:jc w:val="both"/>
        <w:rPr>
          <w:rFonts w:ascii="Arial" w:hAnsi="Arial" w:cs="Arial"/>
        </w:rPr>
      </w:pPr>
      <w:r>
        <w:rPr>
          <w:rFonts w:ascii="Arial" w:hAnsi="Arial" w:cs="Arial"/>
        </w:rPr>
        <w:t xml:space="preserve">Potencialidad de la cartera de clientes. Análisis del mercado de seguros. </w:t>
      </w:r>
    </w:p>
    <w:p w:rsidR="009964CB" w:rsidRDefault="009964CB" w:rsidP="009964CB">
      <w:pPr>
        <w:numPr>
          <w:ilvl w:val="0"/>
          <w:numId w:val="5"/>
        </w:numPr>
        <w:spacing w:after="120" w:line="240" w:lineRule="auto"/>
        <w:jc w:val="both"/>
        <w:rPr>
          <w:rFonts w:ascii="Arial" w:hAnsi="Arial" w:cs="Arial"/>
        </w:rPr>
      </w:pPr>
      <w:r>
        <w:rPr>
          <w:rFonts w:ascii="Arial" w:hAnsi="Arial" w:cs="Arial"/>
        </w:rPr>
        <w:t>Diferentes canales de comercialización.</w:t>
      </w:r>
    </w:p>
    <w:p w:rsidR="009964CB" w:rsidRDefault="009964CB" w:rsidP="009964CB">
      <w:pPr>
        <w:numPr>
          <w:ilvl w:val="0"/>
          <w:numId w:val="5"/>
        </w:numPr>
        <w:spacing w:after="120" w:line="240" w:lineRule="auto"/>
        <w:jc w:val="both"/>
        <w:rPr>
          <w:rFonts w:ascii="Arial" w:hAnsi="Arial" w:cs="Arial"/>
        </w:rPr>
      </w:pPr>
      <w:r>
        <w:rPr>
          <w:rFonts w:ascii="Arial" w:hAnsi="Arial" w:cs="Arial"/>
        </w:rPr>
        <w:t>Marco Sancionatorio y su alcance.</w:t>
      </w:r>
    </w:p>
    <w:p w:rsidR="009964CB" w:rsidRDefault="009964CB" w:rsidP="009964CB">
      <w:pPr>
        <w:numPr>
          <w:ilvl w:val="0"/>
          <w:numId w:val="5"/>
        </w:numPr>
        <w:spacing w:after="120" w:line="240" w:lineRule="auto"/>
        <w:jc w:val="both"/>
        <w:rPr>
          <w:rFonts w:ascii="Arial" w:hAnsi="Arial" w:cs="Arial"/>
        </w:rPr>
      </w:pPr>
      <w:r>
        <w:rPr>
          <w:rFonts w:ascii="Arial" w:hAnsi="Arial" w:cs="Arial"/>
        </w:rPr>
        <w:t>El Lavado de Activos.</w:t>
      </w:r>
    </w:p>
    <w:p w:rsidR="009964CB" w:rsidRDefault="009964CB" w:rsidP="009964CB">
      <w:pPr>
        <w:numPr>
          <w:ilvl w:val="0"/>
          <w:numId w:val="5"/>
        </w:numPr>
        <w:spacing w:after="120" w:line="240" w:lineRule="auto"/>
        <w:jc w:val="both"/>
        <w:rPr>
          <w:rFonts w:ascii="Arial" w:hAnsi="Arial" w:cs="Arial"/>
        </w:rPr>
      </w:pPr>
      <w:r>
        <w:rPr>
          <w:rFonts w:ascii="Arial" w:hAnsi="Arial" w:cs="Arial"/>
        </w:rPr>
        <w:t>Requerimientos específicos del mercado.</w:t>
      </w:r>
    </w:p>
    <w:p w:rsidR="009964CB" w:rsidRDefault="009964CB" w:rsidP="009964CB">
      <w:pPr>
        <w:numPr>
          <w:ilvl w:val="0"/>
          <w:numId w:val="5"/>
        </w:numPr>
        <w:spacing w:after="120" w:line="240" w:lineRule="auto"/>
        <w:jc w:val="both"/>
        <w:rPr>
          <w:rFonts w:ascii="Arial" w:hAnsi="Arial" w:cs="Arial"/>
        </w:rPr>
      </w:pPr>
      <w:r>
        <w:rPr>
          <w:rFonts w:ascii="Arial" w:hAnsi="Arial" w:cs="Arial"/>
        </w:rPr>
        <w:t xml:space="preserve">La inserción del PAS en el </w:t>
      </w:r>
      <w:proofErr w:type="spellStart"/>
      <w:r>
        <w:rPr>
          <w:rFonts w:ascii="Arial" w:hAnsi="Arial" w:cs="Arial"/>
        </w:rPr>
        <w:t>PlaNes</w:t>
      </w:r>
      <w:proofErr w:type="spellEnd"/>
      <w:r>
        <w:rPr>
          <w:rFonts w:ascii="Arial" w:hAnsi="Arial" w:cs="Arial"/>
        </w:rPr>
        <w:t xml:space="preserve">. </w:t>
      </w:r>
    </w:p>
    <w:p w:rsidR="009964CB" w:rsidRPr="007104ED" w:rsidRDefault="009964CB" w:rsidP="009964CB">
      <w:pPr>
        <w:numPr>
          <w:ilvl w:val="0"/>
          <w:numId w:val="5"/>
        </w:numPr>
        <w:spacing w:after="120" w:line="240" w:lineRule="auto"/>
        <w:jc w:val="both"/>
        <w:rPr>
          <w:rFonts w:ascii="Arial" w:hAnsi="Arial" w:cs="Arial"/>
        </w:rPr>
      </w:pPr>
      <w:r>
        <w:rPr>
          <w:rFonts w:ascii="Arial" w:hAnsi="Arial" w:cs="Arial"/>
        </w:rPr>
        <w:t>Art. 10 Ley N° 22.400.</w:t>
      </w:r>
    </w:p>
    <w:p w:rsidR="009964CB" w:rsidRDefault="009964CB" w:rsidP="009964CB"/>
    <w:p w:rsidR="009964CB" w:rsidRDefault="009964CB" w:rsidP="009964CB">
      <w:pPr>
        <w:jc w:val="both"/>
        <w:rPr>
          <w:rFonts w:ascii="Arial" w:hAnsi="Arial" w:cs="Arial"/>
          <w:b/>
          <w:bCs/>
          <w:lang w:eastAsia="es-AR"/>
        </w:rPr>
      </w:pPr>
    </w:p>
    <w:p w:rsidR="009964CB" w:rsidRDefault="009964CB" w:rsidP="009964CB">
      <w:pPr>
        <w:rPr>
          <w:rFonts w:ascii="Arial" w:hAnsi="Arial" w:cs="Arial"/>
          <w:b/>
          <w:bCs/>
          <w:lang w:eastAsia="es-AR"/>
        </w:rPr>
      </w:pPr>
      <w:r>
        <w:rPr>
          <w:rFonts w:ascii="Arial" w:hAnsi="Arial" w:cs="Arial"/>
          <w:b/>
          <w:bCs/>
          <w:lang w:eastAsia="es-AR"/>
        </w:rPr>
        <w:t xml:space="preserve">Carga horaria mínima: 48 </w:t>
      </w:r>
      <w:proofErr w:type="spellStart"/>
      <w:r>
        <w:rPr>
          <w:rFonts w:ascii="Arial" w:hAnsi="Arial" w:cs="Arial"/>
          <w:b/>
          <w:bCs/>
          <w:lang w:eastAsia="es-AR"/>
        </w:rPr>
        <w:t>hs</w:t>
      </w:r>
      <w:proofErr w:type="spellEnd"/>
      <w:r>
        <w:rPr>
          <w:rFonts w:ascii="Arial" w:hAnsi="Arial" w:cs="Arial"/>
          <w:b/>
          <w:bCs/>
          <w:lang w:eastAsia="es-AR"/>
        </w:rPr>
        <w:t>. cátedra. </w:t>
      </w:r>
    </w:p>
    <w:p w:rsidR="009964CB" w:rsidRDefault="009964CB" w:rsidP="009964C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7203F">
        <w:rPr>
          <w:rFonts w:ascii="Times New Roman" w:eastAsia="Times New Roman" w:hAnsi="Times New Roman" w:cs="Times New Roman"/>
          <w:sz w:val="24"/>
          <w:szCs w:val="24"/>
          <w:lang w:eastAsia="es-AR"/>
        </w:rPr>
        <w:t> </w:t>
      </w:r>
    </w:p>
    <w:p w:rsidR="009964CB" w:rsidRDefault="009964CB" w:rsidP="009964CB">
      <w:pPr>
        <w:spacing w:before="100" w:beforeAutospacing="1" w:after="100" w:afterAutospacing="1" w:line="240" w:lineRule="auto"/>
        <w:jc w:val="both"/>
        <w:rPr>
          <w:rFonts w:ascii="Times New Roman" w:eastAsia="Times New Roman" w:hAnsi="Times New Roman" w:cs="Times New Roman"/>
          <w:sz w:val="24"/>
          <w:szCs w:val="24"/>
          <w:lang w:eastAsia="es-AR"/>
        </w:rPr>
      </w:pPr>
    </w:p>
    <w:p w:rsidR="009964CB" w:rsidRDefault="009964CB" w:rsidP="009964CB">
      <w:pPr>
        <w:pStyle w:val="Prrafodelista"/>
        <w:numPr>
          <w:ilvl w:val="0"/>
          <w:numId w:val="12"/>
        </w:numPr>
        <w:spacing w:after="120"/>
        <w:jc w:val="both"/>
        <w:rPr>
          <w:rFonts w:ascii="Arial" w:hAnsi="Arial" w:cs="Arial"/>
          <w:b/>
        </w:rPr>
      </w:pPr>
      <w:r>
        <w:rPr>
          <w:rFonts w:ascii="Arial" w:hAnsi="Arial" w:cs="Arial"/>
          <w:b/>
        </w:rPr>
        <w:lastRenderedPageBreak/>
        <w:t>TÉCNICAS DE COMERCIALIZACIÓN Y VENTA</w:t>
      </w:r>
    </w:p>
    <w:p w:rsidR="009964CB" w:rsidRDefault="009964CB" w:rsidP="009964CB">
      <w:pPr>
        <w:spacing w:after="120"/>
        <w:ind w:left="360"/>
        <w:jc w:val="both"/>
        <w:rPr>
          <w:rFonts w:ascii="Arial" w:hAnsi="Arial" w:cs="Arial"/>
          <w:b/>
        </w:rPr>
      </w:pPr>
    </w:p>
    <w:p w:rsidR="009964CB" w:rsidRDefault="009964CB" w:rsidP="009964CB">
      <w:pPr>
        <w:numPr>
          <w:ilvl w:val="0"/>
          <w:numId w:val="6"/>
        </w:numPr>
        <w:spacing w:after="120" w:line="240" w:lineRule="auto"/>
        <w:jc w:val="both"/>
        <w:rPr>
          <w:rFonts w:ascii="Arial" w:hAnsi="Arial" w:cs="Arial"/>
          <w:sz w:val="24"/>
          <w:szCs w:val="24"/>
        </w:rPr>
      </w:pPr>
      <w:r>
        <w:rPr>
          <w:rFonts w:ascii="Arial" w:hAnsi="Arial" w:cs="Arial"/>
          <w:sz w:val="24"/>
          <w:szCs w:val="24"/>
        </w:rPr>
        <w:t>La importancia y los motivos de la planificación efectiva.</w:t>
      </w:r>
    </w:p>
    <w:p w:rsidR="009964CB" w:rsidRDefault="009964CB" w:rsidP="009964CB">
      <w:pPr>
        <w:numPr>
          <w:ilvl w:val="0"/>
          <w:numId w:val="6"/>
        </w:numPr>
        <w:spacing w:after="120" w:line="240" w:lineRule="auto"/>
        <w:jc w:val="both"/>
        <w:rPr>
          <w:rFonts w:ascii="Arial" w:hAnsi="Arial" w:cs="Arial"/>
          <w:sz w:val="24"/>
          <w:szCs w:val="24"/>
        </w:rPr>
      </w:pPr>
      <w:r>
        <w:rPr>
          <w:rFonts w:ascii="Arial" w:hAnsi="Arial" w:cs="Arial"/>
          <w:sz w:val="24"/>
          <w:szCs w:val="24"/>
        </w:rPr>
        <w:t>Definición de objetivos, determinación de plazos y definición  del plan de acción.</w:t>
      </w:r>
    </w:p>
    <w:p w:rsidR="009964CB" w:rsidRDefault="009964CB" w:rsidP="009964CB">
      <w:pPr>
        <w:numPr>
          <w:ilvl w:val="0"/>
          <w:numId w:val="6"/>
        </w:numPr>
        <w:spacing w:after="120" w:line="240" w:lineRule="auto"/>
        <w:jc w:val="both"/>
        <w:rPr>
          <w:rFonts w:ascii="Arial" w:hAnsi="Arial" w:cs="Arial"/>
          <w:sz w:val="24"/>
          <w:szCs w:val="24"/>
        </w:rPr>
      </w:pPr>
      <w:r>
        <w:rPr>
          <w:rFonts w:ascii="Arial" w:hAnsi="Arial" w:cs="Arial"/>
          <w:sz w:val="24"/>
          <w:szCs w:val="24"/>
        </w:rPr>
        <w:t xml:space="preserve">Plan de Acción. Determinación e identificación de riesgos. </w:t>
      </w:r>
    </w:p>
    <w:p w:rsidR="009964CB" w:rsidRDefault="009964CB" w:rsidP="009964CB">
      <w:pPr>
        <w:numPr>
          <w:ilvl w:val="0"/>
          <w:numId w:val="6"/>
        </w:numPr>
        <w:spacing w:after="120" w:line="240" w:lineRule="auto"/>
        <w:jc w:val="both"/>
        <w:rPr>
          <w:rFonts w:ascii="Arial" w:hAnsi="Arial" w:cs="Arial"/>
          <w:sz w:val="24"/>
          <w:szCs w:val="24"/>
        </w:rPr>
      </w:pPr>
      <w:r>
        <w:rPr>
          <w:rFonts w:ascii="Arial" w:hAnsi="Arial" w:cs="Arial"/>
          <w:sz w:val="24"/>
          <w:szCs w:val="24"/>
        </w:rPr>
        <w:t>Políticas de ventas y administración.</w:t>
      </w:r>
    </w:p>
    <w:p w:rsidR="009964CB" w:rsidRDefault="009964CB" w:rsidP="009964CB">
      <w:pPr>
        <w:numPr>
          <w:ilvl w:val="0"/>
          <w:numId w:val="6"/>
        </w:numPr>
        <w:spacing w:after="120" w:line="240" w:lineRule="auto"/>
        <w:jc w:val="both"/>
        <w:rPr>
          <w:rFonts w:ascii="Arial" w:hAnsi="Arial" w:cs="Arial"/>
          <w:sz w:val="24"/>
          <w:szCs w:val="24"/>
        </w:rPr>
      </w:pPr>
      <w:r>
        <w:rPr>
          <w:rFonts w:ascii="Arial" w:hAnsi="Arial" w:cs="Arial"/>
          <w:sz w:val="24"/>
          <w:szCs w:val="24"/>
        </w:rPr>
        <w:t xml:space="preserve">La búsqueda activa de negocios. </w:t>
      </w:r>
    </w:p>
    <w:p w:rsidR="009964CB" w:rsidRDefault="009964CB" w:rsidP="009964CB">
      <w:pPr>
        <w:numPr>
          <w:ilvl w:val="0"/>
          <w:numId w:val="6"/>
        </w:numPr>
        <w:spacing w:after="120" w:line="240" w:lineRule="auto"/>
        <w:jc w:val="both"/>
        <w:rPr>
          <w:rFonts w:ascii="Arial" w:hAnsi="Arial" w:cs="Arial"/>
          <w:sz w:val="24"/>
          <w:szCs w:val="24"/>
        </w:rPr>
      </w:pPr>
      <w:r>
        <w:rPr>
          <w:rFonts w:ascii="Arial" w:hAnsi="Arial" w:cs="Arial"/>
          <w:sz w:val="24"/>
          <w:szCs w:val="24"/>
        </w:rPr>
        <w:t>Análisis de ingresos y egresos.</w:t>
      </w:r>
    </w:p>
    <w:p w:rsidR="009964CB" w:rsidRDefault="009964CB" w:rsidP="009964CB">
      <w:pPr>
        <w:numPr>
          <w:ilvl w:val="0"/>
          <w:numId w:val="6"/>
        </w:numPr>
        <w:spacing w:after="120" w:line="240" w:lineRule="auto"/>
        <w:jc w:val="both"/>
        <w:rPr>
          <w:rFonts w:ascii="Arial" w:hAnsi="Arial" w:cs="Arial"/>
          <w:sz w:val="24"/>
          <w:szCs w:val="24"/>
        </w:rPr>
      </w:pPr>
      <w:r>
        <w:rPr>
          <w:rFonts w:ascii="Arial" w:hAnsi="Arial" w:cs="Arial"/>
          <w:sz w:val="24"/>
          <w:szCs w:val="24"/>
        </w:rPr>
        <w:t>Criterios para el control de objetivos.</w:t>
      </w:r>
    </w:p>
    <w:p w:rsidR="009964CB" w:rsidRPr="00E437B4" w:rsidRDefault="009964CB" w:rsidP="009964CB">
      <w:pPr>
        <w:numPr>
          <w:ilvl w:val="0"/>
          <w:numId w:val="6"/>
        </w:numPr>
        <w:spacing w:after="120" w:line="240" w:lineRule="auto"/>
        <w:jc w:val="both"/>
        <w:rPr>
          <w:rFonts w:ascii="Arial" w:hAnsi="Arial" w:cs="Arial"/>
          <w:sz w:val="24"/>
          <w:szCs w:val="24"/>
        </w:rPr>
      </w:pPr>
      <w:r>
        <w:rPr>
          <w:rFonts w:ascii="Arial" w:hAnsi="Arial" w:cs="Arial"/>
          <w:sz w:val="24"/>
          <w:szCs w:val="24"/>
        </w:rPr>
        <w:t xml:space="preserve">Resolución de problemas puntuales. Casos puntuales y diversos enfoques analíticos para obtener un mejor resultado. </w:t>
      </w:r>
    </w:p>
    <w:p w:rsidR="009964CB" w:rsidRPr="00BA57FF" w:rsidRDefault="009964CB" w:rsidP="009964CB">
      <w:pPr>
        <w:spacing w:after="120"/>
        <w:ind w:left="360"/>
        <w:jc w:val="both"/>
        <w:rPr>
          <w:rFonts w:ascii="Arial" w:hAnsi="Arial" w:cs="Arial"/>
          <w:b/>
        </w:rPr>
      </w:pPr>
    </w:p>
    <w:p w:rsidR="009964CB" w:rsidRDefault="009964CB" w:rsidP="009964CB">
      <w:pPr>
        <w:rPr>
          <w:rFonts w:ascii="Arial" w:hAnsi="Arial" w:cs="Arial"/>
          <w:b/>
          <w:bCs/>
          <w:lang w:eastAsia="es-AR"/>
        </w:rPr>
      </w:pPr>
      <w:r>
        <w:rPr>
          <w:rFonts w:ascii="Arial" w:hAnsi="Arial" w:cs="Arial"/>
          <w:b/>
          <w:bCs/>
          <w:lang w:eastAsia="es-AR"/>
        </w:rPr>
        <w:t xml:space="preserve">Carga horaria mínima: 48 </w:t>
      </w:r>
      <w:proofErr w:type="spellStart"/>
      <w:r>
        <w:rPr>
          <w:rFonts w:ascii="Arial" w:hAnsi="Arial" w:cs="Arial"/>
          <w:b/>
          <w:bCs/>
          <w:lang w:eastAsia="es-AR"/>
        </w:rPr>
        <w:t>hs</w:t>
      </w:r>
      <w:proofErr w:type="spellEnd"/>
      <w:r>
        <w:rPr>
          <w:rFonts w:ascii="Arial" w:hAnsi="Arial" w:cs="Arial"/>
          <w:b/>
          <w:bCs/>
          <w:lang w:eastAsia="es-AR"/>
        </w:rPr>
        <w:t>. cátedra. </w:t>
      </w:r>
    </w:p>
    <w:p w:rsidR="009964CB" w:rsidRDefault="009964CB" w:rsidP="009964CB">
      <w:pPr>
        <w:spacing w:before="100" w:beforeAutospacing="1" w:after="100" w:afterAutospacing="1" w:line="240" w:lineRule="auto"/>
        <w:jc w:val="both"/>
        <w:rPr>
          <w:rFonts w:ascii="Times New Roman" w:eastAsia="Times New Roman" w:hAnsi="Times New Roman" w:cs="Times New Roman"/>
          <w:b/>
          <w:sz w:val="24"/>
          <w:szCs w:val="24"/>
          <w:lang w:eastAsia="es-AR"/>
        </w:rPr>
      </w:pPr>
    </w:p>
    <w:p w:rsidR="009964CB" w:rsidRPr="00741E2D" w:rsidRDefault="009964CB" w:rsidP="009964CB">
      <w:pPr>
        <w:pStyle w:val="Prrafodelista"/>
        <w:numPr>
          <w:ilvl w:val="0"/>
          <w:numId w:val="10"/>
        </w:numPr>
        <w:spacing w:before="100" w:beforeAutospacing="1" w:after="100" w:afterAutospacing="1"/>
        <w:jc w:val="center"/>
        <w:rPr>
          <w:b/>
          <w:bCs/>
          <w:u w:val="single"/>
          <w:lang w:eastAsia="es-AR"/>
        </w:rPr>
      </w:pPr>
      <w:r w:rsidRPr="00741E2D">
        <w:rPr>
          <w:b/>
          <w:bCs/>
          <w:u w:val="single"/>
          <w:lang w:eastAsia="es-AR"/>
        </w:rPr>
        <w:t xml:space="preserve">– TÉCNICAS ESPECIALES (32 </w:t>
      </w:r>
      <w:proofErr w:type="spellStart"/>
      <w:r w:rsidRPr="00741E2D">
        <w:rPr>
          <w:b/>
          <w:bCs/>
          <w:u w:val="single"/>
          <w:lang w:eastAsia="es-AR"/>
        </w:rPr>
        <w:t>hs</w:t>
      </w:r>
      <w:proofErr w:type="spellEnd"/>
      <w:r w:rsidRPr="00741E2D">
        <w:rPr>
          <w:b/>
          <w:bCs/>
          <w:u w:val="single"/>
          <w:lang w:eastAsia="es-AR"/>
        </w:rPr>
        <w:t>. totales)</w:t>
      </w:r>
    </w:p>
    <w:p w:rsidR="009964CB" w:rsidRDefault="009964CB" w:rsidP="009964CB">
      <w:pPr>
        <w:pStyle w:val="Prrafodelista"/>
        <w:spacing w:before="100" w:beforeAutospacing="1" w:after="100" w:afterAutospacing="1"/>
        <w:rPr>
          <w:b/>
          <w:bCs/>
          <w:u w:val="single"/>
          <w:lang w:eastAsia="es-AR"/>
        </w:rPr>
      </w:pPr>
    </w:p>
    <w:p w:rsidR="009964CB" w:rsidRPr="00741E2D" w:rsidRDefault="009964CB" w:rsidP="009964CB">
      <w:pPr>
        <w:pStyle w:val="Prrafodelista"/>
        <w:spacing w:before="100" w:beforeAutospacing="1" w:after="100" w:afterAutospacing="1"/>
        <w:rPr>
          <w:b/>
          <w:bCs/>
          <w:u w:val="single"/>
          <w:lang w:eastAsia="es-AR"/>
        </w:rPr>
      </w:pPr>
    </w:p>
    <w:p w:rsidR="009964CB" w:rsidRPr="00A33FC1" w:rsidRDefault="009964CB" w:rsidP="009964CB">
      <w:pPr>
        <w:pStyle w:val="Prrafodelista"/>
        <w:numPr>
          <w:ilvl w:val="0"/>
          <w:numId w:val="13"/>
        </w:numPr>
        <w:spacing w:after="120"/>
        <w:jc w:val="both"/>
        <w:rPr>
          <w:rFonts w:ascii="Arial" w:hAnsi="Arial" w:cs="Arial"/>
          <w:b/>
        </w:rPr>
      </w:pPr>
      <w:r w:rsidRPr="00A33FC1">
        <w:rPr>
          <w:rFonts w:ascii="Arial" w:hAnsi="Arial" w:cs="Arial"/>
          <w:b/>
        </w:rPr>
        <w:t>VIDA</w:t>
      </w:r>
    </w:p>
    <w:p w:rsidR="009964CB" w:rsidRDefault="009964CB" w:rsidP="009964CB">
      <w:pPr>
        <w:spacing w:after="120"/>
        <w:ind w:left="360"/>
        <w:jc w:val="both"/>
        <w:rPr>
          <w:rFonts w:ascii="Arial" w:hAnsi="Arial" w:cs="Arial"/>
          <w:b/>
        </w:rPr>
      </w:pPr>
    </w:p>
    <w:p w:rsidR="009964CB" w:rsidRPr="00201D45" w:rsidRDefault="009964CB" w:rsidP="009964CB">
      <w:pPr>
        <w:numPr>
          <w:ilvl w:val="0"/>
          <w:numId w:val="7"/>
        </w:numPr>
        <w:spacing w:after="120" w:line="240" w:lineRule="auto"/>
        <w:jc w:val="both"/>
        <w:rPr>
          <w:rFonts w:ascii="Arial" w:hAnsi="Arial" w:cs="Arial"/>
          <w:sz w:val="24"/>
          <w:szCs w:val="24"/>
          <w:lang w:val="es-MX"/>
        </w:rPr>
      </w:pPr>
      <w:r w:rsidRPr="00201D45">
        <w:rPr>
          <w:rFonts w:ascii="Arial" w:hAnsi="Arial" w:cs="Arial"/>
          <w:sz w:val="24"/>
          <w:szCs w:val="24"/>
        </w:rPr>
        <w:t>Definición de Seguro de Vida. Lógica y contratos. Marco legal: ley 17.418. Solicitud, condiciones y cláusulas de póliza, caducidad.</w:t>
      </w:r>
    </w:p>
    <w:p w:rsidR="009964CB" w:rsidRPr="00201D45" w:rsidRDefault="009964CB" w:rsidP="009964CB">
      <w:pPr>
        <w:numPr>
          <w:ilvl w:val="0"/>
          <w:numId w:val="7"/>
        </w:numPr>
        <w:spacing w:after="120" w:line="240" w:lineRule="auto"/>
        <w:jc w:val="both"/>
        <w:rPr>
          <w:rFonts w:ascii="Arial" w:hAnsi="Arial" w:cs="Arial"/>
          <w:sz w:val="24"/>
          <w:szCs w:val="24"/>
        </w:rPr>
      </w:pPr>
      <w:r w:rsidRPr="00201D45">
        <w:rPr>
          <w:rFonts w:ascii="Arial" w:hAnsi="Arial" w:cs="Arial"/>
          <w:sz w:val="24"/>
          <w:szCs w:val="24"/>
        </w:rPr>
        <w:t>Clasificación de los seguros de vida: general y particular, individuales y colectivos. Seguros obligatorios.</w:t>
      </w:r>
    </w:p>
    <w:p w:rsidR="009964CB" w:rsidRDefault="009964CB" w:rsidP="009964CB">
      <w:pPr>
        <w:numPr>
          <w:ilvl w:val="0"/>
          <w:numId w:val="7"/>
        </w:numPr>
        <w:spacing w:after="120" w:line="240" w:lineRule="auto"/>
        <w:jc w:val="both"/>
        <w:rPr>
          <w:rFonts w:ascii="Arial" w:hAnsi="Arial" w:cs="Arial"/>
          <w:sz w:val="24"/>
          <w:szCs w:val="24"/>
        </w:rPr>
      </w:pPr>
      <w:r w:rsidRPr="00201D45">
        <w:rPr>
          <w:rFonts w:ascii="Arial" w:hAnsi="Arial" w:cs="Arial"/>
          <w:sz w:val="24"/>
          <w:szCs w:val="24"/>
        </w:rPr>
        <w:t>Bases técnicas: tablas de mortalidad, tasas de interés, prima. Requisitos médicos y la técnica facultativa.</w:t>
      </w:r>
      <w:r>
        <w:rPr>
          <w:rFonts w:ascii="Arial" w:hAnsi="Arial" w:cs="Arial"/>
          <w:sz w:val="24"/>
          <w:szCs w:val="24"/>
        </w:rPr>
        <w:t xml:space="preserve"> </w:t>
      </w:r>
    </w:p>
    <w:p w:rsidR="009964CB" w:rsidRPr="00201D45" w:rsidRDefault="009964CB" w:rsidP="009964CB">
      <w:pPr>
        <w:numPr>
          <w:ilvl w:val="0"/>
          <w:numId w:val="7"/>
        </w:numPr>
        <w:spacing w:after="120" w:line="240" w:lineRule="auto"/>
        <w:jc w:val="both"/>
        <w:rPr>
          <w:rFonts w:ascii="Arial" w:hAnsi="Arial" w:cs="Arial"/>
          <w:sz w:val="24"/>
          <w:szCs w:val="24"/>
        </w:rPr>
      </w:pPr>
      <w:r>
        <w:rPr>
          <w:rFonts w:ascii="Arial" w:hAnsi="Arial" w:cs="Arial"/>
          <w:sz w:val="24"/>
          <w:szCs w:val="24"/>
        </w:rPr>
        <w:t xml:space="preserve">Tablas biométricas. Mortalidad, morbilidad, incapacidad. </w:t>
      </w:r>
    </w:p>
    <w:p w:rsidR="009964CB" w:rsidRDefault="009964CB" w:rsidP="009964CB">
      <w:pPr>
        <w:numPr>
          <w:ilvl w:val="0"/>
          <w:numId w:val="7"/>
        </w:numPr>
        <w:spacing w:after="120" w:line="240" w:lineRule="auto"/>
        <w:jc w:val="both"/>
        <w:rPr>
          <w:rFonts w:ascii="Arial" w:hAnsi="Arial" w:cs="Arial"/>
          <w:sz w:val="24"/>
          <w:szCs w:val="24"/>
        </w:rPr>
      </w:pPr>
      <w:r w:rsidRPr="00201D45">
        <w:rPr>
          <w:rFonts w:ascii="Arial" w:hAnsi="Arial" w:cs="Arial"/>
          <w:sz w:val="24"/>
          <w:szCs w:val="24"/>
        </w:rPr>
        <w:t>Funciones de la auditoría médica.</w:t>
      </w:r>
    </w:p>
    <w:p w:rsidR="009964CB" w:rsidRPr="00201D45" w:rsidRDefault="009964CB" w:rsidP="009964CB">
      <w:pPr>
        <w:numPr>
          <w:ilvl w:val="0"/>
          <w:numId w:val="7"/>
        </w:numPr>
        <w:spacing w:after="120" w:line="240" w:lineRule="auto"/>
        <w:jc w:val="both"/>
        <w:rPr>
          <w:rFonts w:ascii="Arial" w:hAnsi="Arial" w:cs="Arial"/>
          <w:sz w:val="24"/>
          <w:szCs w:val="24"/>
        </w:rPr>
      </w:pPr>
      <w:r>
        <w:rPr>
          <w:rFonts w:ascii="Arial" w:hAnsi="Arial" w:cs="Arial"/>
          <w:sz w:val="24"/>
          <w:szCs w:val="24"/>
        </w:rPr>
        <w:t>Seguros individuales. Características y forma de contratación. Formas de comercialización.</w:t>
      </w:r>
    </w:p>
    <w:p w:rsidR="009964CB" w:rsidRDefault="009964CB" w:rsidP="009964CB">
      <w:pPr>
        <w:numPr>
          <w:ilvl w:val="0"/>
          <w:numId w:val="7"/>
        </w:numPr>
        <w:spacing w:after="120" w:line="240" w:lineRule="auto"/>
        <w:jc w:val="both"/>
        <w:rPr>
          <w:rFonts w:ascii="Arial" w:hAnsi="Arial" w:cs="Arial"/>
          <w:sz w:val="24"/>
          <w:szCs w:val="24"/>
        </w:rPr>
      </w:pPr>
      <w:r w:rsidRPr="00201D45">
        <w:rPr>
          <w:rFonts w:ascii="Arial" w:hAnsi="Arial" w:cs="Arial"/>
          <w:sz w:val="24"/>
          <w:szCs w:val="24"/>
        </w:rPr>
        <w:t>Seguros Colectivos. Característ</w:t>
      </w:r>
      <w:r>
        <w:rPr>
          <w:rFonts w:ascii="Arial" w:hAnsi="Arial" w:cs="Arial"/>
          <w:sz w:val="24"/>
          <w:szCs w:val="24"/>
        </w:rPr>
        <w:t>icas y forma de contratación</w:t>
      </w:r>
      <w:r w:rsidRPr="00201D45">
        <w:rPr>
          <w:rFonts w:ascii="Arial" w:hAnsi="Arial" w:cs="Arial"/>
          <w:sz w:val="24"/>
          <w:szCs w:val="24"/>
        </w:rPr>
        <w:t>.</w:t>
      </w:r>
      <w:r>
        <w:rPr>
          <w:rFonts w:ascii="Arial" w:hAnsi="Arial" w:cs="Arial"/>
          <w:sz w:val="24"/>
          <w:szCs w:val="24"/>
        </w:rPr>
        <w:t xml:space="preserve"> Formas de comercialización. </w:t>
      </w:r>
    </w:p>
    <w:p w:rsidR="009964CB" w:rsidRPr="00201D45" w:rsidRDefault="009964CB" w:rsidP="009964CB">
      <w:pPr>
        <w:numPr>
          <w:ilvl w:val="0"/>
          <w:numId w:val="7"/>
        </w:numPr>
        <w:spacing w:after="120" w:line="240" w:lineRule="auto"/>
        <w:jc w:val="both"/>
        <w:rPr>
          <w:rFonts w:ascii="Arial" w:hAnsi="Arial" w:cs="Arial"/>
          <w:sz w:val="24"/>
          <w:szCs w:val="24"/>
        </w:rPr>
      </w:pPr>
      <w:r>
        <w:rPr>
          <w:rFonts w:ascii="Arial" w:hAnsi="Arial" w:cs="Arial"/>
          <w:sz w:val="24"/>
          <w:szCs w:val="24"/>
        </w:rPr>
        <w:t xml:space="preserve">Seguros de vida obligatorios. Patronales. </w:t>
      </w:r>
    </w:p>
    <w:p w:rsidR="009964CB" w:rsidRPr="00201D45" w:rsidRDefault="009964CB" w:rsidP="009964CB">
      <w:pPr>
        <w:numPr>
          <w:ilvl w:val="0"/>
          <w:numId w:val="7"/>
        </w:numPr>
        <w:spacing w:after="120" w:line="240" w:lineRule="auto"/>
        <w:jc w:val="both"/>
        <w:rPr>
          <w:rFonts w:ascii="Arial" w:hAnsi="Arial" w:cs="Arial"/>
          <w:sz w:val="24"/>
          <w:szCs w:val="24"/>
        </w:rPr>
      </w:pPr>
      <w:r w:rsidRPr="00201D45">
        <w:rPr>
          <w:rFonts w:ascii="Arial" w:hAnsi="Arial" w:cs="Arial"/>
          <w:sz w:val="24"/>
          <w:szCs w:val="24"/>
        </w:rPr>
        <w:lastRenderedPageBreak/>
        <w:t>Las pólizas de los diferentes seguros de vida. Los productos que se ofrecen en el mercado.</w:t>
      </w:r>
    </w:p>
    <w:p w:rsidR="009964CB" w:rsidRPr="00201D45" w:rsidRDefault="009964CB" w:rsidP="009964CB">
      <w:pPr>
        <w:numPr>
          <w:ilvl w:val="0"/>
          <w:numId w:val="7"/>
        </w:numPr>
        <w:spacing w:after="120" w:line="240" w:lineRule="auto"/>
        <w:jc w:val="both"/>
        <w:rPr>
          <w:rFonts w:ascii="Arial" w:hAnsi="Arial" w:cs="Arial"/>
          <w:sz w:val="24"/>
          <w:szCs w:val="24"/>
        </w:rPr>
      </w:pPr>
      <w:r w:rsidRPr="00201D45">
        <w:rPr>
          <w:rFonts w:ascii="Arial" w:hAnsi="Arial" w:cs="Arial"/>
          <w:sz w:val="24"/>
          <w:szCs w:val="24"/>
        </w:rPr>
        <w:t>Seguros de accidentes personales. Planes y condiciones. Personas asegurables.</w:t>
      </w:r>
    </w:p>
    <w:p w:rsidR="009964CB" w:rsidRPr="00201D45" w:rsidRDefault="009964CB" w:rsidP="009964CB">
      <w:pPr>
        <w:numPr>
          <w:ilvl w:val="0"/>
          <w:numId w:val="7"/>
        </w:numPr>
        <w:spacing w:after="120" w:line="240" w:lineRule="auto"/>
        <w:jc w:val="both"/>
        <w:rPr>
          <w:rFonts w:ascii="Arial" w:hAnsi="Arial" w:cs="Arial"/>
          <w:sz w:val="24"/>
          <w:szCs w:val="24"/>
        </w:rPr>
      </w:pPr>
      <w:r w:rsidRPr="00201D45">
        <w:rPr>
          <w:rFonts w:ascii="Arial" w:hAnsi="Arial" w:cs="Arial"/>
          <w:sz w:val="24"/>
          <w:szCs w:val="24"/>
        </w:rPr>
        <w:t>Seguro de retiro. Tipos y características.</w:t>
      </w:r>
    </w:p>
    <w:p w:rsidR="009964CB" w:rsidRPr="00201D45" w:rsidRDefault="009964CB" w:rsidP="009964CB">
      <w:pPr>
        <w:numPr>
          <w:ilvl w:val="0"/>
          <w:numId w:val="7"/>
        </w:numPr>
        <w:spacing w:after="120" w:line="240" w:lineRule="auto"/>
        <w:jc w:val="both"/>
        <w:rPr>
          <w:rFonts w:ascii="Arial" w:hAnsi="Arial" w:cs="Arial"/>
          <w:sz w:val="24"/>
          <w:szCs w:val="24"/>
        </w:rPr>
      </w:pPr>
      <w:r w:rsidRPr="00201D45">
        <w:rPr>
          <w:rFonts w:ascii="Arial" w:hAnsi="Arial" w:cs="Arial"/>
          <w:sz w:val="24"/>
          <w:szCs w:val="24"/>
        </w:rPr>
        <w:t>Seguro de dependencia. Características.</w:t>
      </w:r>
    </w:p>
    <w:p w:rsidR="009964CB" w:rsidRDefault="009964CB" w:rsidP="009964CB">
      <w:pPr>
        <w:numPr>
          <w:ilvl w:val="0"/>
          <w:numId w:val="7"/>
        </w:numPr>
        <w:spacing w:after="120" w:line="240" w:lineRule="auto"/>
        <w:jc w:val="both"/>
        <w:rPr>
          <w:rFonts w:ascii="Arial" w:hAnsi="Arial" w:cs="Arial"/>
          <w:sz w:val="24"/>
          <w:szCs w:val="24"/>
        </w:rPr>
      </w:pPr>
      <w:r w:rsidRPr="00201D45">
        <w:rPr>
          <w:rFonts w:ascii="Arial" w:hAnsi="Arial" w:cs="Arial"/>
          <w:sz w:val="24"/>
          <w:szCs w:val="24"/>
        </w:rPr>
        <w:t>Seguro de salud: riesgos cubiertos. Seguro de sepelio.</w:t>
      </w:r>
    </w:p>
    <w:p w:rsidR="009964CB" w:rsidRDefault="009964CB" w:rsidP="009964CB">
      <w:pPr>
        <w:numPr>
          <w:ilvl w:val="0"/>
          <w:numId w:val="7"/>
        </w:numPr>
        <w:spacing w:after="120" w:line="240" w:lineRule="auto"/>
        <w:jc w:val="both"/>
        <w:rPr>
          <w:rFonts w:ascii="Arial" w:hAnsi="Arial" w:cs="Arial"/>
          <w:sz w:val="24"/>
          <w:szCs w:val="24"/>
        </w:rPr>
      </w:pPr>
      <w:r>
        <w:rPr>
          <w:rFonts w:ascii="Arial" w:hAnsi="Arial" w:cs="Arial"/>
          <w:sz w:val="24"/>
          <w:szCs w:val="24"/>
        </w:rPr>
        <w:t xml:space="preserve">Cuestionarios de salud. Reticencias y lo que provocan. </w:t>
      </w:r>
    </w:p>
    <w:p w:rsidR="009964CB" w:rsidRDefault="009964CB" w:rsidP="009964CB">
      <w:pPr>
        <w:spacing w:before="100" w:beforeAutospacing="1" w:after="100" w:afterAutospacing="1" w:line="240" w:lineRule="auto"/>
        <w:jc w:val="both"/>
        <w:rPr>
          <w:rFonts w:ascii="Times New Roman" w:eastAsia="Times New Roman" w:hAnsi="Times New Roman" w:cs="Times New Roman"/>
          <w:b/>
          <w:sz w:val="24"/>
          <w:szCs w:val="24"/>
          <w:lang w:eastAsia="es-AR"/>
        </w:rPr>
      </w:pPr>
    </w:p>
    <w:p w:rsidR="009964CB" w:rsidRDefault="009964CB" w:rsidP="009964CB">
      <w:pPr>
        <w:spacing w:before="100" w:beforeAutospacing="1" w:after="100" w:afterAutospacing="1" w:line="240" w:lineRule="auto"/>
        <w:jc w:val="center"/>
        <w:rPr>
          <w:rFonts w:ascii="Times New Roman" w:eastAsia="Times New Roman" w:hAnsi="Times New Roman" w:cs="Times New Roman"/>
          <w:b/>
          <w:bCs/>
          <w:sz w:val="24"/>
          <w:szCs w:val="24"/>
          <w:u w:val="single"/>
          <w:lang w:eastAsia="es-AR"/>
        </w:rPr>
      </w:pPr>
      <w:r w:rsidRPr="0067203F">
        <w:rPr>
          <w:rFonts w:ascii="Times New Roman" w:eastAsia="Times New Roman" w:hAnsi="Times New Roman" w:cs="Times New Roman"/>
          <w:sz w:val="24"/>
          <w:szCs w:val="24"/>
          <w:lang w:eastAsia="es-AR"/>
        </w:rPr>
        <w:t> </w:t>
      </w:r>
      <w:r>
        <w:rPr>
          <w:rFonts w:ascii="Times New Roman" w:eastAsia="Times New Roman" w:hAnsi="Times New Roman" w:cs="Times New Roman"/>
          <w:b/>
          <w:bCs/>
          <w:sz w:val="24"/>
          <w:szCs w:val="24"/>
          <w:u w:val="single"/>
          <w:lang w:eastAsia="es-AR"/>
        </w:rPr>
        <w:t>D</w:t>
      </w:r>
      <w:r w:rsidRPr="0067203F">
        <w:rPr>
          <w:rFonts w:ascii="Times New Roman" w:eastAsia="Times New Roman" w:hAnsi="Times New Roman" w:cs="Times New Roman"/>
          <w:b/>
          <w:bCs/>
          <w:sz w:val="24"/>
          <w:szCs w:val="24"/>
          <w:u w:val="single"/>
          <w:lang w:eastAsia="es-AR"/>
        </w:rPr>
        <w:t xml:space="preserve">. </w:t>
      </w:r>
      <w:r>
        <w:rPr>
          <w:rFonts w:ascii="Times New Roman" w:eastAsia="Times New Roman" w:hAnsi="Times New Roman" w:cs="Times New Roman"/>
          <w:b/>
          <w:bCs/>
          <w:sz w:val="24"/>
          <w:szCs w:val="24"/>
          <w:u w:val="single"/>
          <w:lang w:eastAsia="es-AR"/>
        </w:rPr>
        <w:t>–</w:t>
      </w:r>
      <w:r w:rsidRPr="0067203F">
        <w:rPr>
          <w:rFonts w:ascii="Times New Roman" w:eastAsia="Times New Roman" w:hAnsi="Times New Roman" w:cs="Times New Roman"/>
          <w:b/>
          <w:bCs/>
          <w:sz w:val="24"/>
          <w:szCs w:val="24"/>
          <w:u w:val="single"/>
          <w:lang w:eastAsia="es-AR"/>
        </w:rPr>
        <w:t xml:space="preserve"> </w:t>
      </w:r>
      <w:r>
        <w:rPr>
          <w:rFonts w:ascii="Times New Roman" w:eastAsia="Times New Roman" w:hAnsi="Times New Roman" w:cs="Times New Roman"/>
          <w:b/>
          <w:bCs/>
          <w:sz w:val="24"/>
          <w:szCs w:val="24"/>
          <w:u w:val="single"/>
          <w:lang w:eastAsia="es-AR"/>
        </w:rPr>
        <w:t xml:space="preserve">FORMACIÓN COMPLEMENTARIA (80 </w:t>
      </w:r>
      <w:proofErr w:type="spellStart"/>
      <w:r>
        <w:rPr>
          <w:rFonts w:ascii="Times New Roman" w:eastAsia="Times New Roman" w:hAnsi="Times New Roman" w:cs="Times New Roman"/>
          <w:b/>
          <w:bCs/>
          <w:sz w:val="24"/>
          <w:szCs w:val="24"/>
          <w:u w:val="single"/>
          <w:lang w:eastAsia="es-AR"/>
        </w:rPr>
        <w:t>hs</w:t>
      </w:r>
      <w:proofErr w:type="spellEnd"/>
      <w:r>
        <w:rPr>
          <w:rFonts w:ascii="Times New Roman" w:eastAsia="Times New Roman" w:hAnsi="Times New Roman" w:cs="Times New Roman"/>
          <w:b/>
          <w:bCs/>
          <w:sz w:val="24"/>
          <w:szCs w:val="24"/>
          <w:u w:val="single"/>
          <w:lang w:eastAsia="es-AR"/>
        </w:rPr>
        <w:t>. totales)</w:t>
      </w:r>
    </w:p>
    <w:p w:rsidR="009964CB" w:rsidRDefault="009964CB" w:rsidP="009964CB">
      <w:pPr>
        <w:spacing w:before="100" w:beforeAutospacing="1" w:after="100" w:afterAutospacing="1" w:line="240" w:lineRule="auto"/>
        <w:jc w:val="both"/>
        <w:rPr>
          <w:rFonts w:ascii="Times New Roman" w:eastAsia="Times New Roman" w:hAnsi="Times New Roman" w:cs="Times New Roman"/>
          <w:b/>
          <w:sz w:val="24"/>
          <w:szCs w:val="24"/>
          <w:lang w:eastAsia="es-AR"/>
        </w:rPr>
      </w:pPr>
    </w:p>
    <w:p w:rsidR="009964CB" w:rsidRDefault="009964CB" w:rsidP="009964CB">
      <w:pPr>
        <w:pStyle w:val="Prrafodelista"/>
        <w:numPr>
          <w:ilvl w:val="0"/>
          <w:numId w:val="9"/>
        </w:numPr>
        <w:spacing w:after="120"/>
        <w:jc w:val="both"/>
        <w:rPr>
          <w:rFonts w:ascii="Arial" w:hAnsi="Arial" w:cs="Arial"/>
          <w:b/>
        </w:rPr>
      </w:pPr>
      <w:r>
        <w:rPr>
          <w:rFonts w:ascii="Arial" w:hAnsi="Arial" w:cs="Arial"/>
          <w:b/>
        </w:rPr>
        <w:t>ÉTICA EN LA COMERCIALIZACIÓN Y CALIDAD DE SERVICIO</w:t>
      </w:r>
    </w:p>
    <w:p w:rsidR="009964CB" w:rsidRDefault="009964CB" w:rsidP="009964CB">
      <w:pPr>
        <w:spacing w:after="120"/>
        <w:jc w:val="both"/>
        <w:rPr>
          <w:rFonts w:ascii="Arial" w:hAnsi="Arial" w:cs="Arial"/>
          <w:b/>
        </w:rPr>
      </w:pPr>
    </w:p>
    <w:p w:rsidR="009964CB" w:rsidRDefault="009964CB" w:rsidP="009964CB">
      <w:pPr>
        <w:pStyle w:val="Standard"/>
        <w:numPr>
          <w:ilvl w:val="0"/>
          <w:numId w:val="4"/>
        </w:numPr>
        <w:spacing w:after="120"/>
        <w:jc w:val="both"/>
        <w:textAlignment w:val="auto"/>
      </w:pPr>
      <w:r>
        <w:rPr>
          <w:rFonts w:ascii="Arial" w:hAnsi="Arial" w:cs="Arial"/>
        </w:rPr>
        <w:t>La ética como disciplina filosófica y marco axiológico. Principales corrientes de pensamiento.</w:t>
      </w:r>
    </w:p>
    <w:p w:rsidR="009964CB" w:rsidRDefault="009964CB" w:rsidP="009964CB">
      <w:pPr>
        <w:pStyle w:val="Standard"/>
        <w:numPr>
          <w:ilvl w:val="0"/>
          <w:numId w:val="4"/>
        </w:numPr>
        <w:spacing w:after="120"/>
        <w:jc w:val="both"/>
        <w:textAlignment w:val="auto"/>
      </w:pPr>
      <w:r>
        <w:rPr>
          <w:rFonts w:ascii="Arial" w:hAnsi="Arial" w:cs="Arial"/>
        </w:rPr>
        <w:t>La ética como problemática subjetiva. La ética en el manejo de la información y en la toma de decisiones.</w:t>
      </w:r>
    </w:p>
    <w:p w:rsidR="009964CB" w:rsidRDefault="009964CB" w:rsidP="009964CB">
      <w:pPr>
        <w:pStyle w:val="Standard"/>
        <w:numPr>
          <w:ilvl w:val="0"/>
          <w:numId w:val="4"/>
        </w:numPr>
        <w:spacing w:after="120"/>
        <w:jc w:val="both"/>
        <w:textAlignment w:val="auto"/>
      </w:pPr>
      <w:r>
        <w:rPr>
          <w:rFonts w:ascii="Arial" w:hAnsi="Arial" w:cs="Arial"/>
        </w:rPr>
        <w:t>La ética de la justicia y derechos del hombre. Abordaje desde el campo de la ética de la problemática derivada del desarrollo económico.</w:t>
      </w:r>
    </w:p>
    <w:p w:rsidR="009964CB" w:rsidRDefault="009964CB" w:rsidP="009964CB">
      <w:pPr>
        <w:pStyle w:val="Standard"/>
        <w:numPr>
          <w:ilvl w:val="0"/>
          <w:numId w:val="4"/>
        </w:numPr>
        <w:spacing w:after="120"/>
        <w:jc w:val="both"/>
        <w:textAlignment w:val="auto"/>
      </w:pPr>
      <w:r>
        <w:rPr>
          <w:rFonts w:ascii="Arial" w:hAnsi="Arial" w:cs="Arial"/>
        </w:rPr>
        <w:t>La ética en las organizaciones públicas y privadas.</w:t>
      </w:r>
    </w:p>
    <w:p w:rsidR="009964CB" w:rsidRDefault="009964CB" w:rsidP="009964CB">
      <w:pPr>
        <w:pStyle w:val="Standard"/>
        <w:numPr>
          <w:ilvl w:val="0"/>
          <w:numId w:val="4"/>
        </w:numPr>
        <w:spacing w:after="120"/>
        <w:jc w:val="both"/>
        <w:textAlignment w:val="auto"/>
      </w:pPr>
      <w:r>
        <w:rPr>
          <w:rFonts w:ascii="Arial" w:hAnsi="Arial" w:cs="Arial"/>
        </w:rPr>
        <w:t>La problemática ética contemporánea: éticas vigentes y morales emergentes. Ética aplicada al ejercicio profesional.</w:t>
      </w:r>
    </w:p>
    <w:p w:rsidR="009964CB" w:rsidRDefault="009964CB" w:rsidP="009964CB">
      <w:pPr>
        <w:pStyle w:val="Standard"/>
        <w:numPr>
          <w:ilvl w:val="0"/>
          <w:numId w:val="4"/>
        </w:numPr>
        <w:spacing w:after="120"/>
        <w:jc w:val="both"/>
        <w:textAlignment w:val="auto"/>
      </w:pPr>
      <w:r>
        <w:rPr>
          <w:rFonts w:ascii="Arial" w:hAnsi="Arial" w:cs="Arial"/>
          <w:bCs/>
        </w:rPr>
        <w:t>Las leyes como reguladoras de nuestra conducta.</w:t>
      </w:r>
    </w:p>
    <w:p w:rsidR="009964CB" w:rsidRDefault="009964CB" w:rsidP="009964CB">
      <w:pPr>
        <w:pStyle w:val="Standard"/>
        <w:numPr>
          <w:ilvl w:val="0"/>
          <w:numId w:val="4"/>
        </w:numPr>
        <w:spacing w:after="120"/>
        <w:jc w:val="both"/>
        <w:textAlignment w:val="auto"/>
      </w:pPr>
      <w:r>
        <w:rPr>
          <w:rFonts w:ascii="Arial" w:hAnsi="Arial" w:cs="Arial"/>
        </w:rPr>
        <w:t xml:space="preserve">El campo laboral. La profesión en la organización. Ética y Empresa. </w:t>
      </w:r>
      <w:r>
        <w:rPr>
          <w:rFonts w:ascii="Arial" w:hAnsi="Arial" w:cs="Arial"/>
          <w:iCs/>
        </w:rPr>
        <w:t>De la ética de la convicción a la ética de la responsabilidad convencida</w:t>
      </w:r>
      <w:r>
        <w:rPr>
          <w:rFonts w:ascii="Arial" w:hAnsi="Arial" w:cs="Arial"/>
        </w:rPr>
        <w:t>. Empresa y Sociedad. Responsabilidad social. Ética gerencial y Empresas de Seguros.</w:t>
      </w:r>
    </w:p>
    <w:p w:rsidR="009964CB" w:rsidRDefault="009964CB" w:rsidP="009964CB">
      <w:pPr>
        <w:pStyle w:val="Standard"/>
        <w:numPr>
          <w:ilvl w:val="0"/>
          <w:numId w:val="4"/>
        </w:numPr>
        <w:spacing w:after="120"/>
        <w:jc w:val="both"/>
        <w:textAlignment w:val="auto"/>
      </w:pPr>
      <w:r>
        <w:rPr>
          <w:rFonts w:ascii="Arial" w:hAnsi="Arial" w:cs="Arial"/>
        </w:rPr>
        <w:t>Reflexiones sobre la problemática del desarrollo en el siglo XXI. La problemática del Trabajo. La Tecnología. El Trabajo. La equidad. La dignidad de la persona.</w:t>
      </w:r>
    </w:p>
    <w:p w:rsidR="009964CB" w:rsidRPr="00F9248B" w:rsidRDefault="009964CB" w:rsidP="009964CB">
      <w:pPr>
        <w:spacing w:after="120"/>
        <w:jc w:val="both"/>
        <w:rPr>
          <w:rFonts w:ascii="Arial" w:hAnsi="Arial" w:cs="Arial"/>
          <w:b/>
        </w:rPr>
      </w:pPr>
    </w:p>
    <w:p w:rsidR="009964CB" w:rsidRDefault="009964CB" w:rsidP="009964CB">
      <w:pPr>
        <w:jc w:val="both"/>
        <w:rPr>
          <w:rFonts w:ascii="Arial" w:hAnsi="Arial" w:cs="Arial"/>
          <w:b/>
          <w:bCs/>
          <w:lang w:eastAsia="es-AR"/>
        </w:rPr>
      </w:pPr>
      <w:r>
        <w:rPr>
          <w:rFonts w:ascii="Arial" w:hAnsi="Arial" w:cs="Arial"/>
          <w:b/>
          <w:bCs/>
          <w:lang w:eastAsia="es-AR"/>
        </w:rPr>
        <w:t xml:space="preserve">Carga horaria mínima: 32 </w:t>
      </w:r>
      <w:proofErr w:type="spellStart"/>
      <w:r>
        <w:rPr>
          <w:rFonts w:ascii="Arial" w:hAnsi="Arial" w:cs="Arial"/>
          <w:b/>
          <w:bCs/>
          <w:lang w:eastAsia="es-AR"/>
        </w:rPr>
        <w:t>hs</w:t>
      </w:r>
      <w:proofErr w:type="spellEnd"/>
      <w:r>
        <w:rPr>
          <w:rFonts w:ascii="Arial" w:hAnsi="Arial" w:cs="Arial"/>
          <w:b/>
          <w:bCs/>
          <w:lang w:eastAsia="es-AR"/>
        </w:rPr>
        <w:t>. cátedra. </w:t>
      </w:r>
    </w:p>
    <w:p w:rsidR="009964CB" w:rsidRDefault="009964CB" w:rsidP="009964CB">
      <w:pPr>
        <w:jc w:val="both"/>
        <w:rPr>
          <w:rFonts w:ascii="Arial" w:hAnsi="Arial" w:cs="Arial"/>
          <w:b/>
          <w:bCs/>
          <w:lang w:eastAsia="es-AR"/>
        </w:rPr>
      </w:pPr>
    </w:p>
    <w:p w:rsidR="009964CB" w:rsidRDefault="009964CB" w:rsidP="009964CB">
      <w:pPr>
        <w:jc w:val="both"/>
        <w:rPr>
          <w:rFonts w:ascii="Arial" w:hAnsi="Arial" w:cs="Arial"/>
          <w:b/>
          <w:bCs/>
          <w:lang w:eastAsia="es-AR"/>
        </w:rPr>
      </w:pPr>
    </w:p>
    <w:p w:rsidR="009964CB" w:rsidRDefault="009964CB" w:rsidP="009964CB">
      <w:pPr>
        <w:pStyle w:val="Prrafodelista"/>
        <w:numPr>
          <w:ilvl w:val="0"/>
          <w:numId w:val="9"/>
        </w:numPr>
        <w:spacing w:after="120"/>
        <w:jc w:val="both"/>
        <w:rPr>
          <w:rFonts w:ascii="Arial" w:hAnsi="Arial" w:cs="Arial"/>
          <w:b/>
        </w:rPr>
      </w:pPr>
      <w:r>
        <w:rPr>
          <w:rFonts w:ascii="Arial" w:hAnsi="Arial" w:cs="Arial"/>
          <w:b/>
        </w:rPr>
        <w:lastRenderedPageBreak/>
        <w:t>TALLER DE RESOLUCIÓN DE CASOS</w:t>
      </w:r>
    </w:p>
    <w:p w:rsidR="009964CB" w:rsidRDefault="009964CB" w:rsidP="009964CB">
      <w:pPr>
        <w:spacing w:after="120"/>
        <w:jc w:val="both"/>
        <w:rPr>
          <w:rFonts w:ascii="Arial" w:hAnsi="Arial" w:cs="Arial"/>
          <w:b/>
        </w:rPr>
      </w:pPr>
    </w:p>
    <w:p w:rsidR="009964CB" w:rsidRPr="00F07A51" w:rsidRDefault="009964CB" w:rsidP="009964CB">
      <w:pPr>
        <w:pStyle w:val="Standard"/>
        <w:numPr>
          <w:ilvl w:val="0"/>
          <w:numId w:val="8"/>
        </w:numPr>
        <w:spacing w:after="120"/>
        <w:jc w:val="both"/>
        <w:textAlignment w:val="auto"/>
      </w:pPr>
      <w:r>
        <w:rPr>
          <w:rFonts w:ascii="Arial" w:hAnsi="Arial" w:cs="Arial"/>
          <w:bCs/>
        </w:rPr>
        <w:t xml:space="preserve">Delimitación de un caso y definición de la problemática que lo rodea desde el punto de vista jurídico, de la comercialización y de la ética. </w:t>
      </w:r>
    </w:p>
    <w:p w:rsidR="009964CB" w:rsidRPr="00F07A51" w:rsidRDefault="009964CB" w:rsidP="009964CB">
      <w:pPr>
        <w:pStyle w:val="Standard"/>
        <w:numPr>
          <w:ilvl w:val="0"/>
          <w:numId w:val="8"/>
        </w:numPr>
        <w:spacing w:after="120"/>
        <w:jc w:val="both"/>
        <w:textAlignment w:val="auto"/>
      </w:pPr>
      <w:r>
        <w:rPr>
          <w:rFonts w:ascii="Arial" w:hAnsi="Arial" w:cs="Arial"/>
          <w:bCs/>
        </w:rPr>
        <w:t>Identificación de posibles problemas en el asesoramiento y la posterior contratación.</w:t>
      </w:r>
    </w:p>
    <w:p w:rsidR="009964CB" w:rsidRPr="00F07A51" w:rsidRDefault="009964CB" w:rsidP="009964CB">
      <w:pPr>
        <w:pStyle w:val="Standard"/>
        <w:numPr>
          <w:ilvl w:val="0"/>
          <w:numId w:val="8"/>
        </w:numPr>
        <w:spacing w:after="120"/>
        <w:jc w:val="both"/>
        <w:textAlignment w:val="auto"/>
      </w:pPr>
      <w:r>
        <w:rPr>
          <w:rFonts w:ascii="Arial" w:hAnsi="Arial" w:cs="Arial"/>
          <w:bCs/>
        </w:rPr>
        <w:t xml:space="preserve">Vinculación con equipo de trabajo multidisciplinario. Trabajo en grupos y juego de roles. </w:t>
      </w:r>
    </w:p>
    <w:p w:rsidR="009964CB" w:rsidRPr="00F07A51" w:rsidRDefault="009964CB" w:rsidP="009964CB">
      <w:pPr>
        <w:pStyle w:val="Standard"/>
        <w:numPr>
          <w:ilvl w:val="0"/>
          <w:numId w:val="8"/>
        </w:numPr>
        <w:spacing w:after="120"/>
        <w:jc w:val="both"/>
        <w:textAlignment w:val="auto"/>
      </w:pPr>
      <w:r>
        <w:rPr>
          <w:rFonts w:ascii="Arial" w:hAnsi="Arial" w:cs="Arial"/>
          <w:bCs/>
        </w:rPr>
        <w:t xml:space="preserve">Los diferentes puntos de vista y los diferentes intereses ante un caso particular. </w:t>
      </w:r>
    </w:p>
    <w:p w:rsidR="009964CB" w:rsidRDefault="009964CB" w:rsidP="009964CB">
      <w:pPr>
        <w:spacing w:after="120"/>
        <w:jc w:val="both"/>
        <w:rPr>
          <w:rFonts w:ascii="Arial" w:hAnsi="Arial" w:cs="Arial"/>
          <w:b/>
        </w:rPr>
      </w:pPr>
    </w:p>
    <w:p w:rsidR="009964CB" w:rsidRDefault="009964CB" w:rsidP="009964CB">
      <w:pPr>
        <w:jc w:val="both"/>
        <w:rPr>
          <w:rFonts w:ascii="Arial" w:hAnsi="Arial" w:cs="Arial"/>
          <w:b/>
          <w:bCs/>
          <w:lang w:eastAsia="es-AR"/>
        </w:rPr>
      </w:pPr>
      <w:r>
        <w:rPr>
          <w:rFonts w:ascii="Arial" w:hAnsi="Arial" w:cs="Arial"/>
          <w:b/>
          <w:bCs/>
          <w:lang w:eastAsia="es-AR"/>
        </w:rPr>
        <w:t xml:space="preserve">Carga horaria mínima: 32 </w:t>
      </w:r>
      <w:proofErr w:type="spellStart"/>
      <w:r>
        <w:rPr>
          <w:rFonts w:ascii="Arial" w:hAnsi="Arial" w:cs="Arial"/>
          <w:b/>
          <w:bCs/>
          <w:lang w:eastAsia="es-AR"/>
        </w:rPr>
        <w:t>hs</w:t>
      </w:r>
      <w:proofErr w:type="spellEnd"/>
      <w:r>
        <w:rPr>
          <w:rFonts w:ascii="Arial" w:hAnsi="Arial" w:cs="Arial"/>
          <w:b/>
          <w:bCs/>
          <w:lang w:eastAsia="es-AR"/>
        </w:rPr>
        <w:t>. cátedra. </w:t>
      </w:r>
    </w:p>
    <w:p w:rsidR="009964CB" w:rsidRDefault="009964CB" w:rsidP="009964CB">
      <w:pPr>
        <w:spacing w:after="120"/>
        <w:jc w:val="both"/>
        <w:rPr>
          <w:rFonts w:ascii="Arial" w:hAnsi="Arial" w:cs="Arial"/>
          <w:b/>
        </w:rPr>
      </w:pPr>
    </w:p>
    <w:p w:rsidR="009964CB" w:rsidRDefault="009964CB" w:rsidP="009964CB">
      <w:pPr>
        <w:pStyle w:val="Prrafodelista"/>
        <w:numPr>
          <w:ilvl w:val="0"/>
          <w:numId w:val="9"/>
        </w:numPr>
        <w:spacing w:after="120"/>
        <w:jc w:val="both"/>
        <w:rPr>
          <w:rFonts w:ascii="Arial" w:hAnsi="Arial" w:cs="Arial"/>
          <w:b/>
        </w:rPr>
      </w:pPr>
      <w:r>
        <w:rPr>
          <w:rFonts w:ascii="Arial" w:hAnsi="Arial" w:cs="Arial"/>
          <w:b/>
        </w:rPr>
        <w:t>CLASES DE INTEGRACIÓN DE CONOCIMIENTOS</w:t>
      </w:r>
    </w:p>
    <w:p w:rsidR="009964CB" w:rsidRDefault="009964CB" w:rsidP="009964CB">
      <w:pPr>
        <w:spacing w:after="120"/>
        <w:jc w:val="both"/>
        <w:rPr>
          <w:rFonts w:ascii="Arial" w:hAnsi="Arial" w:cs="Arial"/>
          <w:b/>
        </w:rPr>
      </w:pPr>
    </w:p>
    <w:p w:rsidR="009964CB" w:rsidRPr="00F07A51" w:rsidRDefault="009964CB" w:rsidP="009964CB">
      <w:pPr>
        <w:pStyle w:val="Standard"/>
        <w:numPr>
          <w:ilvl w:val="0"/>
          <w:numId w:val="8"/>
        </w:numPr>
        <w:spacing w:after="120"/>
        <w:jc w:val="both"/>
        <w:textAlignment w:val="auto"/>
      </w:pPr>
      <w:r>
        <w:rPr>
          <w:rFonts w:ascii="Arial" w:hAnsi="Arial" w:cs="Arial"/>
          <w:bCs/>
        </w:rPr>
        <w:t xml:space="preserve">Repaso conceptual sobre normativa. </w:t>
      </w:r>
    </w:p>
    <w:p w:rsidR="009964CB" w:rsidRPr="00F07A51" w:rsidRDefault="009964CB" w:rsidP="009964CB">
      <w:pPr>
        <w:pStyle w:val="Standard"/>
        <w:numPr>
          <w:ilvl w:val="0"/>
          <w:numId w:val="8"/>
        </w:numPr>
        <w:spacing w:after="120"/>
        <w:jc w:val="both"/>
        <w:textAlignment w:val="auto"/>
      </w:pPr>
      <w:r>
        <w:rPr>
          <w:rFonts w:ascii="Arial" w:hAnsi="Arial" w:cs="Arial"/>
          <w:bCs/>
        </w:rPr>
        <w:t>Repaso conceptual sobre operatoria.</w:t>
      </w:r>
    </w:p>
    <w:p w:rsidR="009964CB" w:rsidRPr="00F07A51" w:rsidRDefault="009964CB" w:rsidP="009964CB">
      <w:pPr>
        <w:pStyle w:val="Standard"/>
        <w:numPr>
          <w:ilvl w:val="0"/>
          <w:numId w:val="8"/>
        </w:numPr>
        <w:spacing w:after="120"/>
        <w:jc w:val="both"/>
        <w:textAlignment w:val="auto"/>
      </w:pPr>
      <w:r>
        <w:rPr>
          <w:rFonts w:ascii="Arial" w:hAnsi="Arial" w:cs="Arial"/>
          <w:bCs/>
        </w:rPr>
        <w:t>Repaso conceptual sobre aspectos técnicos de cada riesgo.</w:t>
      </w:r>
    </w:p>
    <w:p w:rsidR="009964CB" w:rsidRPr="002A45CC" w:rsidRDefault="009964CB" w:rsidP="009964CB">
      <w:pPr>
        <w:pStyle w:val="Standard"/>
        <w:numPr>
          <w:ilvl w:val="0"/>
          <w:numId w:val="8"/>
        </w:numPr>
        <w:spacing w:after="120"/>
        <w:jc w:val="both"/>
        <w:textAlignment w:val="auto"/>
      </w:pPr>
      <w:r>
        <w:rPr>
          <w:rFonts w:ascii="Arial" w:hAnsi="Arial" w:cs="Arial"/>
          <w:bCs/>
        </w:rPr>
        <w:t>Repaso conceptual sobre las mejores prácticas de venta y asesoramiento.</w:t>
      </w:r>
    </w:p>
    <w:p w:rsidR="009964CB" w:rsidRPr="008C6F76" w:rsidRDefault="009964CB" w:rsidP="009964CB">
      <w:pPr>
        <w:pStyle w:val="Standard"/>
        <w:numPr>
          <w:ilvl w:val="0"/>
          <w:numId w:val="8"/>
        </w:numPr>
        <w:spacing w:after="120"/>
        <w:jc w:val="both"/>
        <w:textAlignment w:val="auto"/>
        <w:rPr>
          <w:rFonts w:ascii="Arial" w:hAnsi="Arial" w:cs="Arial"/>
        </w:rPr>
      </w:pPr>
      <w:r w:rsidRPr="008C6F76">
        <w:rPr>
          <w:rFonts w:ascii="Arial" w:hAnsi="Arial" w:cs="Arial"/>
        </w:rPr>
        <w:t xml:space="preserve">Aspectos operativos de la inscripción al Examen de Competencia, la instancia de examen y el posterior trámite de matriculación. </w:t>
      </w:r>
    </w:p>
    <w:p w:rsidR="009964CB" w:rsidRPr="00FB39DD" w:rsidRDefault="009964CB" w:rsidP="009964CB">
      <w:pPr>
        <w:spacing w:after="120"/>
        <w:jc w:val="both"/>
        <w:rPr>
          <w:rFonts w:ascii="Arial" w:hAnsi="Arial" w:cs="Arial"/>
          <w:b/>
        </w:rPr>
      </w:pPr>
    </w:p>
    <w:p w:rsidR="009964CB" w:rsidRDefault="009964CB" w:rsidP="009964CB">
      <w:pPr>
        <w:jc w:val="both"/>
        <w:rPr>
          <w:rFonts w:ascii="Arial" w:hAnsi="Arial" w:cs="Arial"/>
          <w:b/>
          <w:bCs/>
          <w:lang w:eastAsia="es-AR"/>
        </w:rPr>
      </w:pPr>
      <w:r>
        <w:rPr>
          <w:rFonts w:ascii="Arial" w:hAnsi="Arial" w:cs="Arial"/>
          <w:b/>
          <w:bCs/>
          <w:lang w:eastAsia="es-AR"/>
        </w:rPr>
        <w:t xml:space="preserve">Carga horaria mínima: 16 </w:t>
      </w:r>
      <w:proofErr w:type="spellStart"/>
      <w:r>
        <w:rPr>
          <w:rFonts w:ascii="Arial" w:hAnsi="Arial" w:cs="Arial"/>
          <w:b/>
          <w:bCs/>
          <w:lang w:eastAsia="es-AR"/>
        </w:rPr>
        <w:t>hs</w:t>
      </w:r>
      <w:proofErr w:type="spellEnd"/>
      <w:r>
        <w:rPr>
          <w:rFonts w:ascii="Arial" w:hAnsi="Arial" w:cs="Arial"/>
          <w:b/>
          <w:bCs/>
          <w:lang w:eastAsia="es-AR"/>
        </w:rPr>
        <w:t>. cátedra. </w:t>
      </w:r>
    </w:p>
    <w:p w:rsidR="009964CB" w:rsidRDefault="009964CB" w:rsidP="009964CB">
      <w:pPr>
        <w:spacing w:before="100" w:beforeAutospacing="1" w:after="100" w:afterAutospacing="1" w:line="240" w:lineRule="auto"/>
        <w:jc w:val="both"/>
        <w:rPr>
          <w:rFonts w:ascii="Times New Roman" w:eastAsia="Times New Roman" w:hAnsi="Times New Roman" w:cs="Times New Roman"/>
          <w:b/>
          <w:sz w:val="24"/>
          <w:szCs w:val="24"/>
          <w:lang w:eastAsia="es-AR"/>
        </w:rPr>
      </w:pPr>
    </w:p>
    <w:p w:rsidR="00C87C6F" w:rsidRDefault="009964CB"/>
    <w:sectPr w:rsidR="00C87C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1A7"/>
    <w:multiLevelType w:val="hybridMultilevel"/>
    <w:tmpl w:val="8F4E40CE"/>
    <w:lvl w:ilvl="0" w:tplc="0C2074C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4130072"/>
    <w:multiLevelType w:val="hybridMultilevel"/>
    <w:tmpl w:val="942E29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49C0E9F"/>
    <w:multiLevelType w:val="hybridMultilevel"/>
    <w:tmpl w:val="40A21D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8C520B5"/>
    <w:multiLevelType w:val="hybridMultilevel"/>
    <w:tmpl w:val="D848CE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C943CBD"/>
    <w:multiLevelType w:val="hybridMultilevel"/>
    <w:tmpl w:val="66B0C6BC"/>
    <w:lvl w:ilvl="0" w:tplc="EE28213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B0B2D04"/>
    <w:multiLevelType w:val="hybridMultilevel"/>
    <w:tmpl w:val="3A401D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5B13A56"/>
    <w:multiLevelType w:val="hybridMultilevel"/>
    <w:tmpl w:val="72BE7B64"/>
    <w:lvl w:ilvl="0" w:tplc="0664AE70">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123454A"/>
    <w:multiLevelType w:val="multilevel"/>
    <w:tmpl w:val="E500B498"/>
    <w:styleLink w:val="WWNum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
    <w:nsid w:val="359E392B"/>
    <w:multiLevelType w:val="hybridMultilevel"/>
    <w:tmpl w:val="B86ED052"/>
    <w:lvl w:ilvl="0" w:tplc="245E71D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5817393"/>
    <w:multiLevelType w:val="hybridMultilevel"/>
    <w:tmpl w:val="CFC8B62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D2749C5"/>
    <w:multiLevelType w:val="hybridMultilevel"/>
    <w:tmpl w:val="ACA4BB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6D371E5C"/>
    <w:multiLevelType w:val="multilevel"/>
    <w:tmpl w:val="F2B6E57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6E266C41"/>
    <w:multiLevelType w:val="hybridMultilevel"/>
    <w:tmpl w:val="7540A8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11"/>
  </w:num>
  <w:num w:numId="5">
    <w:abstractNumId w:val="1"/>
  </w:num>
  <w:num w:numId="6">
    <w:abstractNumId w:val="12"/>
  </w:num>
  <w:num w:numId="7">
    <w:abstractNumId w:val="10"/>
  </w:num>
  <w:num w:numId="8">
    <w:abstractNumId w:val="7"/>
  </w:num>
  <w:num w:numId="9">
    <w:abstractNumId w:val="6"/>
  </w:num>
  <w:num w:numId="10">
    <w:abstractNumId w:val="9"/>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CB"/>
    <w:rsid w:val="005D5D52"/>
    <w:rsid w:val="009964CB"/>
    <w:rsid w:val="00A558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996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pPr>
    <w:rPr>
      <w:rFonts w:ascii="Courier New" w:eastAsia="Arial Unicode MS" w:hAnsi="Courier New" w:cs="Courier New"/>
      <w:color w:val="33352E"/>
      <w:sz w:val="18"/>
      <w:szCs w:val="18"/>
      <w:lang w:val="es-ES" w:eastAsia="es-ES"/>
    </w:rPr>
  </w:style>
  <w:style w:type="character" w:customStyle="1" w:styleId="HTMLconformatoprevioCar">
    <w:name w:val="HTML con formato previo Car"/>
    <w:basedOn w:val="Fuentedeprrafopredeter"/>
    <w:link w:val="HTMLconformatoprevio"/>
    <w:rsid w:val="009964CB"/>
    <w:rPr>
      <w:rFonts w:ascii="Courier New" w:eastAsia="Arial Unicode MS" w:hAnsi="Courier New" w:cs="Courier New"/>
      <w:color w:val="33352E"/>
      <w:sz w:val="18"/>
      <w:szCs w:val="18"/>
      <w:lang w:val="es-ES" w:eastAsia="es-ES"/>
    </w:rPr>
  </w:style>
  <w:style w:type="paragraph" w:styleId="Prrafodelista">
    <w:name w:val="List Paragraph"/>
    <w:basedOn w:val="Normal"/>
    <w:uiPriority w:val="34"/>
    <w:qFormat/>
    <w:rsid w:val="009964CB"/>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Standard">
    <w:name w:val="Standard"/>
    <w:rsid w:val="009964C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5">
    <w:name w:val="WWNum5"/>
    <w:basedOn w:val="Sinlista"/>
    <w:rsid w:val="009964CB"/>
    <w:pPr>
      <w:numPr>
        <w:numId w:val="4"/>
      </w:numPr>
    </w:pPr>
  </w:style>
  <w:style w:type="character" w:styleId="Textoennegrita">
    <w:name w:val="Strong"/>
    <w:basedOn w:val="Fuentedeprrafopredeter"/>
    <w:qFormat/>
    <w:rsid w:val="009964CB"/>
    <w:rPr>
      <w:b/>
      <w:bCs/>
    </w:rPr>
  </w:style>
  <w:style w:type="character" w:customStyle="1" w:styleId="apple-converted-space">
    <w:name w:val="apple-converted-space"/>
    <w:rsid w:val="009964CB"/>
  </w:style>
  <w:style w:type="numbering" w:customStyle="1" w:styleId="WWNum4">
    <w:name w:val="WWNum4"/>
    <w:rsid w:val="009964CB"/>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996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pPr>
    <w:rPr>
      <w:rFonts w:ascii="Courier New" w:eastAsia="Arial Unicode MS" w:hAnsi="Courier New" w:cs="Courier New"/>
      <w:color w:val="33352E"/>
      <w:sz w:val="18"/>
      <w:szCs w:val="18"/>
      <w:lang w:val="es-ES" w:eastAsia="es-ES"/>
    </w:rPr>
  </w:style>
  <w:style w:type="character" w:customStyle="1" w:styleId="HTMLconformatoprevioCar">
    <w:name w:val="HTML con formato previo Car"/>
    <w:basedOn w:val="Fuentedeprrafopredeter"/>
    <w:link w:val="HTMLconformatoprevio"/>
    <w:rsid w:val="009964CB"/>
    <w:rPr>
      <w:rFonts w:ascii="Courier New" w:eastAsia="Arial Unicode MS" w:hAnsi="Courier New" w:cs="Courier New"/>
      <w:color w:val="33352E"/>
      <w:sz w:val="18"/>
      <w:szCs w:val="18"/>
      <w:lang w:val="es-ES" w:eastAsia="es-ES"/>
    </w:rPr>
  </w:style>
  <w:style w:type="paragraph" w:styleId="Prrafodelista">
    <w:name w:val="List Paragraph"/>
    <w:basedOn w:val="Normal"/>
    <w:uiPriority w:val="34"/>
    <w:qFormat/>
    <w:rsid w:val="009964CB"/>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Standard">
    <w:name w:val="Standard"/>
    <w:rsid w:val="009964C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5">
    <w:name w:val="WWNum5"/>
    <w:basedOn w:val="Sinlista"/>
    <w:rsid w:val="009964CB"/>
    <w:pPr>
      <w:numPr>
        <w:numId w:val="4"/>
      </w:numPr>
    </w:pPr>
  </w:style>
  <w:style w:type="character" w:styleId="Textoennegrita">
    <w:name w:val="Strong"/>
    <w:basedOn w:val="Fuentedeprrafopredeter"/>
    <w:qFormat/>
    <w:rsid w:val="009964CB"/>
    <w:rPr>
      <w:b/>
      <w:bCs/>
    </w:rPr>
  </w:style>
  <w:style w:type="character" w:customStyle="1" w:styleId="apple-converted-space">
    <w:name w:val="apple-converted-space"/>
    <w:rsid w:val="009964CB"/>
  </w:style>
  <w:style w:type="numbering" w:customStyle="1" w:styleId="WWNum4">
    <w:name w:val="WWNum4"/>
    <w:rsid w:val="009964CB"/>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1952</Words>
  <Characters>10737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 Gutierrez</dc:creator>
  <cp:lastModifiedBy>Sandra C. Gutierrez</cp:lastModifiedBy>
  <cp:revision>1</cp:revision>
  <dcterms:created xsi:type="dcterms:W3CDTF">2014-07-11T18:26:00Z</dcterms:created>
  <dcterms:modified xsi:type="dcterms:W3CDTF">2014-07-11T18:27:00Z</dcterms:modified>
</cp:coreProperties>
</file>