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ANEXO I - RES. SSN Nº 37.363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AR"/>
        </w:rPr>
        <w:t>FORMACIÓN PROFESIONAL DEL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PRODUCTOR ASESOR DE SEGUROS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 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_tradnl" w:eastAsia="es-AR"/>
        </w:rPr>
        <w:t>Contenidos para la Ampliación de la Matrícula de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es-ES_tradnl" w:eastAsia="es-AR"/>
        </w:rPr>
        <w:t>Productor Asesor de Seguros sobre las Personas </w:t>
      </w: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es-ES_tradnl" w:eastAsia="es-AR"/>
        </w:rPr>
        <w:t>a </w:t>
      </w:r>
      <w:r w:rsidRPr="009016B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es-ES_tradnl" w:eastAsia="es-AR"/>
        </w:rPr>
        <w:t>Seguros Patrimoniales y sobre las Personas.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AR"/>
        </w:rPr>
        <w:t> </w:t>
      </w: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AR"/>
        </w:rPr>
        <w:t xml:space="preserve">-Carga horaria mínima total: 80 </w:t>
      </w:r>
      <w:proofErr w:type="spellStart"/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AR"/>
        </w:rPr>
        <w:t>hs</w:t>
      </w:r>
      <w:proofErr w:type="spellEnd"/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AR"/>
        </w:rPr>
        <w:t>. cátedra-</w:t>
      </w:r>
    </w:p>
    <w:p w:rsidR="009016BA" w:rsidRPr="009016BA" w:rsidRDefault="009016BA" w:rsidP="0090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9016BA" w:rsidRPr="009016BA" w:rsidRDefault="009016BA" w:rsidP="0090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1.- Los seguros de Daños Patrimoniales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1.1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Concepto de "daño patrimonial" y de "continuidad del ingreso".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1.2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Bienes de Activo asegurables.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1.3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Riesgos asegurables sobre Activos.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1.3.1 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Ramos comprendidos.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Análisis y desarrollo de los mismos.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1.4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Riesgos asegurables sobre Pasivos accidentales.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1.4.1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Ramos comprendidos.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Análisis y desarrollo de los mismos.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1.4.2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El Seguro de Riesgos del Trabajo. Novedades y desarrollo.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1.4.3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Unificación de condiciones contractuales y digitalización del proceso. El caso Automotores y otros ramos</w:t>
      </w:r>
      <w:proofErr w:type="gramStart"/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..</w:t>
      </w:r>
      <w:proofErr w:type="gramEnd"/>
    </w:p>
    <w:p w:rsidR="009016BA" w:rsidRPr="009016BA" w:rsidRDefault="009016BA" w:rsidP="009016BA">
      <w:pPr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1.5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Riesgos asegurables sobre ingresos.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1.5.1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Ramos comprendidos.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 </w:t>
      </w:r>
      <w:r w:rsidRPr="009016BA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AR"/>
        </w:rPr>
        <w:t>Análisis y desarrollo de los mismos.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1.6</w:t>
      </w:r>
      <w:r w:rsidRPr="009016BA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</w:t>
      </w: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El riesgo ambiental. Su definición. La Constitución Nacional, la Ley General del Ambiente y normas reglamentarias. Coberturas aseguradoras. Características. Actualización y promoción. Resoluciones adicionales.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7"/>
          <w:szCs w:val="27"/>
          <w:lang w:eastAsia="es-AR"/>
        </w:rPr>
        <w:lastRenderedPageBreak/>
        <w:t> </w:t>
      </w:r>
    </w:p>
    <w:p w:rsidR="009016BA" w:rsidRPr="009016BA" w:rsidRDefault="009016BA" w:rsidP="0090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AR"/>
        </w:rPr>
        <w:t>Normativa legal de aplicación al Capítulo</w:t>
      </w:r>
      <w:r w:rsidRPr="009016BA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Ley 17.418 (especialmente. Arts. 60 a 127 Patrimoniales y 128 a 156 Vida) Ley 24.557 (Riesgos del Trabajo). Ley 20.091. Resoluciones de SSN referidas a las  Condiciones Generales de Póliza. Riesgo Ambiental: Constitución Nacional (arts. 41/43), Ley 25.675. Resoluciones administrativas N°178 y 303 del 2007 y 1398 del 2008.</w:t>
      </w:r>
    </w:p>
    <w:p w:rsidR="009016BA" w:rsidRPr="009016BA" w:rsidRDefault="009016BA" w:rsidP="0090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9016B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C87C6F" w:rsidRDefault="009016BA">
      <w:bookmarkStart w:id="0" w:name="_GoBack"/>
      <w:bookmarkEnd w:id="0"/>
    </w:p>
    <w:sectPr w:rsidR="00C8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A"/>
    <w:rsid w:val="005D5D52"/>
    <w:rsid w:val="009016BA"/>
    <w:rsid w:val="00A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0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0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C. Gutierrez</dc:creator>
  <cp:lastModifiedBy>Sandra C. Gutierrez</cp:lastModifiedBy>
  <cp:revision>1</cp:revision>
  <dcterms:created xsi:type="dcterms:W3CDTF">2014-07-11T18:22:00Z</dcterms:created>
  <dcterms:modified xsi:type="dcterms:W3CDTF">2014-07-11T18:23:00Z</dcterms:modified>
</cp:coreProperties>
</file>