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1D" w:rsidRPr="00932D1D" w:rsidRDefault="00932D1D" w:rsidP="00932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ANEXO I - RES. SSN Nº 37.363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AR"/>
        </w:rPr>
        <w:t>FORMACIÓN PROFESIONAL DEL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PRODUCTOR ASESOR DE SEGUROS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 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s-ES_tradnl" w:eastAsia="es-AR"/>
        </w:rPr>
        <w:t>Contenidos para la Ampliación de la Matrícula de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s-ES_tradnl" w:eastAsia="es-AR"/>
        </w:rPr>
        <w:t> </w:t>
      </w:r>
      <w:r w:rsidRPr="00932D1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val="es-ES_tradnl" w:eastAsia="es-AR"/>
        </w:rPr>
        <w:t>Productor Asesor de Seguros para Actuación Geográfica Libre.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> </w:t>
      </w: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-Carga horaria mínima total: 60 </w:t>
      </w:r>
      <w:proofErr w:type="spellStart"/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hs</w:t>
      </w:r>
      <w:proofErr w:type="spellEnd"/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. cátedra.-</w:t>
      </w:r>
      <w:r w:rsidRPr="00932D1D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>  </w:t>
      </w:r>
    </w:p>
    <w:p w:rsidR="00932D1D" w:rsidRPr="00932D1D" w:rsidRDefault="00932D1D" w:rsidP="00932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1.-  Principios  técnicos del seguro.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1.1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Elementos básicos: riesgo e interés asegurable.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1.2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Seguros de Daños Patrimoniales y de Personas. Concepto, objeto, riesgos y ramos principales.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1.3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Prima y premio.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1.4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El valor asegurable, la suma asegurada y el tipo de cobertura.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1.5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Coberturas "a prorrata", y a primer riesgo absoluto y relativo.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1.6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La indemnización: medida de la obligación. Franquicia y descubierto obligatorio.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1.7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Forma y tiempo de pago de la indemnización.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2.-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  </w:t>
      </w: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La estructura operativa del seguro.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2.1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La empresa de seguros: tipos legales admitidos y sus características.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2.2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Situación económico-financiera de las aseguradoras. Diferentes indicadores: de tipo general, patrimoniales y financieros y de gestión operativa. Concepto y explicación de su resultado. Ejemplos y comparaciones de los indicadores entre diferentes entidades aseguradoras.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lastRenderedPageBreak/>
        <w:t>3.-  El reaseguro.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3.1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Concepto y formas operativas.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3.2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Distintas clases: Proporcionales y No proporcionales. Características y aplicación. La retención. Reaseguros Facultativos y Obligatorios. Retrocesiones.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     </w:t>
      </w: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4.-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 </w:t>
      </w: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La intermediación en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 </w:t>
      </w: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la comercialización de seguros.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4.1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Las normas regulatorias generales y específicas. La Ley 22.400 y el Reglamento General de la Actividad.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4.2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Diferencia con otras formas de comercialización.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4.3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Agentes Institorios. La figura legal: efecto jurídico. El abuso de la figura.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4.4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Venta directa. En mostrador o con vendedores dependientes.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4.5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Ventas a través de instituciones financieras u otras: cumplimientos de normas reglamentarias. Resolución 32.080. Precios, operatoria, cobranza.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5.- Requisitos para el mantenimiento de la Matrícula.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5.1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La SSN. Funciones legales específicas.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5.2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Funciones retenidas y encomendadas a terceros.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5.3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Pago del Derecho Anual.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5.4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Requisitos formales. Domicilio. Libros de Registro.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5.5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La Capacitación Continuada. 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5.6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Requisitos sustanciales. Incompatibilidades. Arts. 8 y 9 Ley 22.400.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6.- Derechos y obligaciones del Productor Asesor.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6.1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El art. 10, incisos 1 y 2, Ley 22.400. Análisis y desarrollo de los distintos aspectos contemplados.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lastRenderedPageBreak/>
        <w:t>6.2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Las distintas etapas de la asistencia al Asegurado / Asegurable. Asesoramiento previo, suscripción, control de contenido del contrato.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6.3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El siniestro: actuación del PAS en su tramitación (comunicaciones, traslado de documentación, asistencia al Asegurado, etc.)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7.- Infracciones a </w:t>
      </w:r>
      <w:proofErr w:type="spellStart"/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a</w:t>
      </w:r>
      <w:proofErr w:type="spellEnd"/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 normativa. Sanciones.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7.1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Procedimiento y criterios de aplicación establecidos por la ley y la jurisprudencia administrativa</w:t>
      </w:r>
      <w:proofErr w:type="gramStart"/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.(</w:t>
      </w:r>
      <w:proofErr w:type="gramEnd"/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art. 82 y 83 Ley 20.091).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7.2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Faltas de mayor o menor gravedad. Casos de jurisprudencia administrativa.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8.- La remuneración del PAS.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8.1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Formas y reglas aplicables. Ley 22.400.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8.2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Distintas modalidades de actuación.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8.3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Comisiones porcentuales, honorarios fijos o variables.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8.4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Reconocimiento de gastos. Comisiones de cobranza.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8.5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Derecho a comisión. Anulaciones.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8.6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Relación con la cobranza de premios.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9.- La actividad del PAS: Formas Asociativas y Gremiales.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9.1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Actuación individual.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9.2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 La Organización de seguros. Vinculación entre sus integrantes. Régimen comisionario. Integración y desvinculación.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9.3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 Las sociedades de PAS en la Ley 22.400 y en la práctica: responsabilidades individuales y colectivas. Integración y desvinculación. La actividad gremial de los PAS.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9.4</w:t>
      </w:r>
      <w:r w:rsidRPr="00932D1D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La integración a grupos de interés común. Su incidencia en la defensa del Asegurado y de la Actividad.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7"/>
          <w:szCs w:val="27"/>
          <w:lang w:eastAsia="es-AR"/>
        </w:rPr>
        <w:lastRenderedPageBreak/>
        <w:t> 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AR"/>
        </w:rPr>
        <w:t>Normativa legal de aplicación</w:t>
      </w:r>
      <w:r w:rsidRPr="00932D1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.</w:t>
      </w:r>
    </w:p>
    <w:p w:rsidR="00932D1D" w:rsidRPr="00932D1D" w:rsidRDefault="00932D1D" w:rsidP="0093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32D1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Normas del Código Civil (punto 2), Ley Nº 12.988: Prohibición de asegurar en el extranjero. Alcances. Sanciones. Régimen de reaseguros. Ley Nº 17.418 (Arts. 1 a 59), Ley Nº 20.091 (punto 4), Ley Nº 17418 (Arts. 159 a 162 y Resoluciones de SSN Nº 24.805 y </w:t>
      </w:r>
      <w:proofErr w:type="spellStart"/>
      <w:r w:rsidRPr="00932D1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concs</w:t>
      </w:r>
      <w:proofErr w:type="spellEnd"/>
      <w:r w:rsidRPr="00932D1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 s/reaseguro- Punto 5). Leyes Nº 20.091 y Nº 24.557 (Punto 6). Ley 22.400, Reglamento General de la actividad de los PAS. Ley 20.091. Normas legales citadas en el texto.</w:t>
      </w:r>
    </w:p>
    <w:p w:rsidR="00C87C6F" w:rsidRDefault="00932D1D">
      <w:bookmarkStart w:id="0" w:name="_GoBack"/>
      <w:bookmarkEnd w:id="0"/>
    </w:p>
    <w:sectPr w:rsidR="00C87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1D"/>
    <w:rsid w:val="005D5D52"/>
    <w:rsid w:val="00932D1D"/>
    <w:rsid w:val="00A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32D1D"/>
  </w:style>
  <w:style w:type="character" w:styleId="Textoennegrita">
    <w:name w:val="Strong"/>
    <w:basedOn w:val="Fuentedeprrafopredeter"/>
    <w:uiPriority w:val="22"/>
    <w:qFormat/>
    <w:rsid w:val="00932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32D1D"/>
  </w:style>
  <w:style w:type="character" w:styleId="Textoennegrita">
    <w:name w:val="Strong"/>
    <w:basedOn w:val="Fuentedeprrafopredeter"/>
    <w:uiPriority w:val="22"/>
    <w:qFormat/>
    <w:rsid w:val="0093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C. Gutierrez</dc:creator>
  <cp:lastModifiedBy>Sandra C. Gutierrez</cp:lastModifiedBy>
  <cp:revision>1</cp:revision>
  <dcterms:created xsi:type="dcterms:W3CDTF">2014-07-11T18:20:00Z</dcterms:created>
  <dcterms:modified xsi:type="dcterms:W3CDTF">2014-07-11T18:21:00Z</dcterms:modified>
</cp:coreProperties>
</file>